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ED9921">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2024年个人述职报告</w:t>
      </w:r>
    </w:p>
    <w:p w14:paraId="3602687E">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谢 伟</w:t>
      </w:r>
    </w:p>
    <w:p w14:paraId="79D96DB3">
      <w:pPr>
        <w:jc w:val="center"/>
        <w:rPr>
          <w:rFonts w:hint="eastAsia" w:ascii="仿宋_GB2312" w:hAnsi="仿宋_GB2312" w:eastAsia="仿宋_GB2312" w:cs="仿宋_GB2312"/>
          <w:sz w:val="32"/>
          <w:szCs w:val="32"/>
        </w:rPr>
      </w:pPr>
    </w:p>
    <w:p w14:paraId="58E97A92">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本年度，担任六职校机电专业部党支部书记、主任一职，全面负责整个专业部的教学、德育管理</w:t>
      </w:r>
      <w:r>
        <w:rPr>
          <w:rFonts w:hint="eastAsia" w:ascii="仿宋_GB2312" w:eastAsia="仿宋_GB2312"/>
          <w:sz w:val="32"/>
          <w:szCs w:val="32"/>
        </w:rPr>
        <w:t xml:space="preserve">工作，在思想上忠诚党的教育事业，具有良好政治思想素质和师风师德，在工作中做到严谨治学，为人师表，不断提高专业知识和技能，现将一年的思想和工作情况总结如下： </w:t>
      </w:r>
    </w:p>
    <w:p w14:paraId="6D361B87">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党建工作</w:t>
      </w:r>
    </w:p>
    <w:p w14:paraId="75EAF18C">
      <w:pPr>
        <w:spacing w:line="560" w:lineRule="exact"/>
        <w:ind w:firstLine="640" w:firstLineChars="200"/>
        <w:rPr>
          <w:rFonts w:ascii="仿宋_GB2312" w:eastAsia="仿宋_GB2312"/>
          <w:sz w:val="32"/>
          <w:szCs w:val="32"/>
        </w:rPr>
      </w:pPr>
      <w:r>
        <w:rPr>
          <w:rFonts w:hint="eastAsia" w:ascii="仿宋_GB2312" w:eastAsia="仿宋_GB2312"/>
          <w:sz w:val="32"/>
          <w:szCs w:val="32"/>
        </w:rPr>
        <w:t>作为机电党支部书记，思想上严格要求自己，认真学习《习近平新时代中国特色社会主义思想专题摘编》、《党的二十届三中全会《决定》学习辅导百问》等书籍，提高了自己政治敏锐性和鉴别能力，坚定了立场和信念。加强党员教师队伍的党风廉风教育，每月主持开展党支部的主题党员活动，加强组织生活管理，严格落实“三会一课”等制度，全力配合上级的“两随机”检查，切实做好思想主题教育活动，做到有计划有总结，在学校重大活动工作中，专业部党员教师积极主动，起到模范表率作用。</w:t>
      </w:r>
    </w:p>
    <w:p w14:paraId="349253F3">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教学工作</w:t>
      </w:r>
    </w:p>
    <w:p w14:paraId="3B911A3A">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rPr>
        <w:t xml:space="preserve"> </w:t>
      </w:r>
      <w:r>
        <w:rPr>
          <w:rFonts w:hint="eastAsia" w:ascii="仿宋_GB2312" w:eastAsia="仿宋_GB2312"/>
          <w:sz w:val="32"/>
          <w:szCs w:val="32"/>
        </w:rPr>
        <w:t>按照学校教学常规工作安排，按时完成排课、订书、教学情况检查、期末出评卷等工作，不定期开展巡堂活动，课程教学有序开展。克服师资力量紧张困难，调配6位专业老师承担22级高考数学课程的教学任务，召开专业部全体师生大会，对2025年的高考工作做出全面的部署，同时加强早读和晚自习的监管力度。从思想到备考措施对老师和学生做了具体的要求，提出明确的奋斗目标。</w:t>
      </w:r>
    </w:p>
    <w:p w14:paraId="7BDFEC8C">
      <w:pPr>
        <w:spacing w:line="560" w:lineRule="exact"/>
        <w:ind w:firstLine="640" w:firstLineChars="200"/>
        <w:rPr>
          <w:rFonts w:ascii="仿宋_GB2312" w:eastAsia="仿宋_GB2312"/>
          <w:sz w:val="32"/>
          <w:szCs w:val="32"/>
        </w:rPr>
      </w:pPr>
      <w:r>
        <w:rPr>
          <w:rFonts w:hint="eastAsia" w:ascii="仿宋_GB2312" w:eastAsia="仿宋_GB2312"/>
          <w:sz w:val="32"/>
          <w:szCs w:val="32"/>
        </w:rPr>
        <w:t>2.召开2024年学生广西区技能竞赛总结暨南宁市技能竞赛动员会，组织机电部的师生积极开展2024年广西职业院校技能竞赛的和南宁市中职学生技能备赛和参赛工作，区赛参加3D打印应用综合技术、零部件测绘和CAD成图技术、电子产品设计与应用等等共14个项目的比赛，获得3个一等奖、11个二等奖、4个三等奖的好成绩。在南宁市职业院校技能竞赛上参加现代加工技术、无人机操控与维护、电子产品设计与应用等6个项目的比赛，获得一等奖2项，二等奖4项，三等奖5项的好成绩。</w:t>
      </w:r>
    </w:p>
    <w:p w14:paraId="5031BAD8">
      <w:pPr>
        <w:spacing w:line="560" w:lineRule="exact"/>
        <w:ind w:firstLine="640" w:firstLineChars="200"/>
        <w:rPr>
          <w:rFonts w:ascii="仿宋_GB2312" w:eastAsia="仿宋_GB2312"/>
          <w:sz w:val="32"/>
          <w:szCs w:val="32"/>
        </w:rPr>
      </w:pPr>
      <w:r>
        <w:rPr>
          <w:rFonts w:hint="eastAsia" w:ascii="仿宋_GB2312" w:eastAsia="仿宋_GB2312"/>
          <w:sz w:val="32"/>
          <w:szCs w:val="32"/>
        </w:rPr>
        <w:t>3.组织22级学生报名考取对应专业的职业资格证，安排专业课教师对学生开展考证实操及理论培训，出色的完成了培训工作，并取得良好效果。其中电工（四级工）考证培训学生274人，通过243人，通过率89%。制冷空调系统安装维修工（四级工）培训54人，通过51人，通过率94.4%%。组织遴选机器人专业40位学生参加1+X工业机器人运维与操作证书和数控专业的20位学生参加1+X车铣加工证书的培训及考证事项，落实教师带领学生外出参加实操考试的培训，上述两证通过率达100%。</w:t>
      </w:r>
    </w:p>
    <w:p w14:paraId="765B8802">
      <w:pPr>
        <w:spacing w:line="560" w:lineRule="exact"/>
        <w:ind w:firstLine="640" w:firstLineChars="200"/>
        <w:rPr>
          <w:rFonts w:ascii="仿宋_GB2312" w:eastAsia="仿宋_GB2312"/>
          <w:sz w:val="32"/>
          <w:szCs w:val="32"/>
        </w:rPr>
      </w:pPr>
      <w:r>
        <w:rPr>
          <w:rFonts w:hint="eastAsia" w:ascii="仿宋_GB2312" w:eastAsia="仿宋_GB2312"/>
          <w:sz w:val="32"/>
          <w:szCs w:val="32"/>
        </w:rPr>
        <w:t>4.上半年组织召开机电技术专业部专业建设指导委员会的年会，专家委员对电子电器应用与维修、制冷与空调运行与维修、工业机器人、数控技术等4个专业的教学计划和人才培养方案的典型工作任务进行修改，根据职教高考及企业要求提出了切实可行的意见和建议。下半年组织骨干教师完成四个专业的人才培养方案的修订工作，新方案优化了课程设置，增加部分文化课课时和工业机器人技术、智能制造技术等前沿课程，以适应产业升级和职教高考的需求。组织召开工业机器人实训室改造提升建设的专家论证会，完成招投标及采购工作，改善技能比赛实训环境，提高教学质量。</w:t>
      </w:r>
    </w:p>
    <w:p w14:paraId="2399A627">
      <w:pPr>
        <w:spacing w:line="560" w:lineRule="exact"/>
        <w:ind w:firstLine="640" w:firstLineChars="200"/>
        <w:rPr>
          <w:rFonts w:ascii="仿宋_GB2312" w:eastAsia="仿宋_GB2312"/>
          <w:sz w:val="32"/>
          <w:szCs w:val="32"/>
        </w:rPr>
      </w:pPr>
      <w:r>
        <w:rPr>
          <w:rFonts w:hint="eastAsia" w:ascii="仿宋_GB2312" w:eastAsia="仿宋_GB2312"/>
          <w:sz w:val="32"/>
          <w:szCs w:val="32"/>
        </w:rPr>
        <w:t>5.</w:t>
      </w:r>
      <w:r>
        <w:rPr>
          <w:rFonts w:hint="eastAsia"/>
        </w:rPr>
        <w:t xml:space="preserve"> </w:t>
      </w:r>
      <w:r>
        <w:rPr>
          <w:rFonts w:hint="eastAsia" w:ascii="仿宋_GB2312" w:eastAsia="仿宋_GB2312"/>
          <w:sz w:val="32"/>
          <w:szCs w:val="32"/>
        </w:rPr>
        <w:t>12月份数控技术专业、制冷空调专业和工业机器人专业按南宁市教育局关于开展全市中等职业学校2024学年度下学期重点专业学生基本技能考核的通知要求，组织制冷与空调专业、工业机器人技术应用专业和数控技术应用专业共113名同学进行技能测试工作，全部顺利通过考核，通过率为100%。</w:t>
      </w:r>
    </w:p>
    <w:p w14:paraId="4311A29B">
      <w:pPr>
        <w:spacing w:line="560" w:lineRule="exact"/>
        <w:ind w:firstLine="640" w:firstLineChars="200"/>
        <w:rPr>
          <w:rFonts w:ascii="仿宋_GB2312" w:eastAsia="仿宋_GB2312"/>
          <w:sz w:val="32"/>
          <w:szCs w:val="32"/>
        </w:rPr>
      </w:pPr>
      <w:r>
        <w:rPr>
          <w:rFonts w:hint="eastAsia" w:ascii="仿宋_GB2312" w:eastAsia="仿宋_GB2312"/>
          <w:sz w:val="32"/>
          <w:szCs w:val="32"/>
        </w:rPr>
        <w:t>6.加强师资队伍建设，全力配合科研处做好每年度教师的培训工作，结合培训内容、培训方式进行遴选人员，使培训效果最大化。组织机电部教师积极参加教师专业技能大赛，39人次参加了课堂教学比赛、微课制作、专业基本功等比赛，获一等奖2项，二等奖5项，三等奖11项。组织召开年度学校“青蓝工程”机电技术专业部导师座谈会和学员座谈会，安排对应专业教师参加送教下乡活动，组内专业教师积极完成校内公开课工作，</w:t>
      </w:r>
      <w:r>
        <w:rPr>
          <w:rFonts w:hint="eastAsia" w:ascii="仿宋_GB2312" w:hAnsi="仿宋_GB2312" w:eastAsia="仿宋_GB2312" w:cs="仿宋_GB2312"/>
          <w:sz w:val="32"/>
          <w:szCs w:val="32"/>
        </w:rPr>
        <w:t>完成专业部</w:t>
      </w:r>
      <w:r>
        <w:rPr>
          <w:rFonts w:hint="eastAsia" w:ascii="仿宋_GB2312" w:eastAsia="仿宋_GB2312"/>
          <w:sz w:val="32"/>
          <w:szCs w:val="32"/>
        </w:rPr>
        <w:t>2023年青蓝工程结对子徒弟考核课的考核工作和2024年“青蓝工程”“传帮带”的结对子工作。</w:t>
      </w:r>
    </w:p>
    <w:p w14:paraId="007A086B">
      <w:pPr>
        <w:spacing w:line="560" w:lineRule="exact"/>
        <w:ind w:firstLine="640" w:firstLineChars="200"/>
        <w:rPr>
          <w:rFonts w:ascii="仿宋_GB2312" w:eastAsia="仿宋_GB2312"/>
          <w:sz w:val="32"/>
          <w:szCs w:val="32"/>
        </w:rPr>
      </w:pPr>
      <w:r>
        <w:rPr>
          <w:rFonts w:hint="eastAsia" w:ascii="仿宋_GB2312" w:eastAsia="仿宋_GB2312"/>
          <w:sz w:val="32"/>
          <w:szCs w:val="32"/>
        </w:rPr>
        <w:t>7.课程改革成果显著，推动教师应用混合式教学方式进行授课，推进信息化教学资源建设，利用在线教学平台，建设了《电工技术基础与技能》、《电子技术基础与技能》、《空调设备》等多门课程的网络教学资源，包括教学视频、电子教案、在线测试等。学生可以通过网络平台进行自主学习，拓宽了学习渠道。邀请超星公司培训讲师对教师开展在线精品课程建设与运用的培训。提高了教师运用超星学习通和学银在线的应用能力，使教师对在线精品课程建设有更加深入的理解。</w:t>
      </w:r>
    </w:p>
    <w:p w14:paraId="6DC73FEA">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（三）德育工作</w:t>
      </w:r>
    </w:p>
    <w:p w14:paraId="6DF25E62">
      <w:pPr>
        <w:spacing w:line="560" w:lineRule="exact"/>
        <w:ind w:firstLine="640" w:firstLineChars="200"/>
        <w:rPr>
          <w:rFonts w:ascii="仿宋_GB2312" w:eastAsia="仿宋_GB2312"/>
          <w:sz w:val="32"/>
          <w:szCs w:val="32"/>
        </w:rPr>
      </w:pPr>
      <w:r>
        <w:rPr>
          <w:rFonts w:hint="eastAsia" w:ascii="仿宋_GB2312" w:eastAsia="仿宋_GB2312"/>
          <w:sz w:val="32"/>
          <w:szCs w:val="32"/>
        </w:rPr>
        <w:t>1.配合学校做好春秋两季学生返校注册工作，确保专业部学生顺利到校开学。组织和开展24级新生教育工作，做好新生军训工作，强化学生的纪律意识和行动能力。</w:t>
      </w:r>
    </w:p>
    <w:p w14:paraId="3CBD3DED">
      <w:pPr>
        <w:spacing w:line="560" w:lineRule="exact"/>
        <w:ind w:firstLine="640" w:firstLineChars="200"/>
        <w:rPr>
          <w:rFonts w:ascii="仿宋_GB2312" w:eastAsia="仿宋_GB2312"/>
          <w:sz w:val="32"/>
          <w:szCs w:val="32"/>
        </w:rPr>
      </w:pPr>
      <w:r>
        <w:rPr>
          <w:rFonts w:hint="eastAsia" w:ascii="仿宋_GB2312" w:eastAsia="仿宋_GB2312"/>
          <w:sz w:val="32"/>
          <w:szCs w:val="32"/>
        </w:rPr>
        <w:t>2.从集队、出勤、仪容仪表、课堂纪律、晚读、晚自习、教室（宿舍）卫生等方面狠抓学生日常行为规范，每周及时反馈各班学生常规管理得分，督促班级整改提升，定期召开专业部学生大会，进行常规管理工作阶段性总结。组建专业部学生卫生晨检工作小队，配合专业部开展学生常规管理工作，强化学生干部的实践工作能力和学生自我管理能力。</w:t>
      </w:r>
    </w:p>
    <w:p w14:paraId="762271F1">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3.利用班主任会时间，每周开展班主任工作经验交流、工作问题研讨，安排青蓝工程学员老师跟随经验丰富的老班主任进行学习和实践，完成对九名青蓝工程学员老师的主题班会课考核。组织黄丽蓉、梁倩雯等优秀班主任在心理健康教育一体化课程建设专题研讨活动和班会资源库工作推进会、名班主任工作室活动中开展经验交流分享，起到了良好的示范和引领作用。 </w:t>
      </w:r>
    </w:p>
    <w:p w14:paraId="1AB8131B">
      <w:pPr>
        <w:spacing w:line="560" w:lineRule="exact"/>
        <w:ind w:firstLine="640" w:firstLineChars="200"/>
        <w:rPr>
          <w:rFonts w:ascii="仿宋_GB2312" w:eastAsia="仿宋_GB2312"/>
          <w:sz w:val="32"/>
          <w:szCs w:val="32"/>
        </w:rPr>
      </w:pPr>
      <w:r>
        <w:rPr>
          <w:rFonts w:hint="eastAsia" w:ascii="仿宋_GB2312" w:eastAsia="仿宋_GB2312"/>
          <w:sz w:val="32"/>
          <w:szCs w:val="32"/>
        </w:rPr>
        <w:t>4.通过主题班会、专题讲座等方式，组织学生完成了一系列的道德规范知识、法制知识和卫生健康知识学习，如诚信教育、禁毒教育、宪法知识学习和防艾滋、防肺结核、防近视卫生知识学习等，丰富了学生行为规范知识、法律知识和卫生知识，强化了学生的道德意识、法制意识和自我保护能力。组织专业部师生参加每月安全逃生紧急疏散演练，参加防溺水、交通安全、消防安全、防电信诈骗等知识学习，每周在学生群和家长群发布安全提醒，做好安全知识宣传，强化学生和家长的安全意识。</w:t>
      </w:r>
    </w:p>
    <w:p w14:paraId="6ED8B48E">
      <w:pPr>
        <w:spacing w:line="560" w:lineRule="exact"/>
        <w:ind w:firstLine="640" w:firstLineChars="200"/>
        <w:rPr>
          <w:rFonts w:ascii="仿宋_GB2312" w:eastAsia="仿宋_GB2312"/>
          <w:sz w:val="32"/>
          <w:szCs w:val="32"/>
        </w:rPr>
      </w:pPr>
      <w:r>
        <w:rPr>
          <w:rFonts w:hint="eastAsia" w:ascii="仿宋_GB2312" w:eastAsia="仿宋_GB2312"/>
          <w:sz w:val="32"/>
          <w:szCs w:val="32"/>
        </w:rPr>
        <w:t>5.配合学工科完成各项常规工作及一些重大活动，如常规评比和班级学生年度“评优评先”，每月的校文明班和黑板报评比，开展校园安全环境大检查等。组织学生参加 “红五月”合唱及朗诵比赛，学校“万名教师访万家”活动，校文化体育节和年度“迎新晚会”等等重大活动。配合学校心理咨询中心，组织学生完成心理健康调查问卷，及时了解学生心理健康情况。</w:t>
      </w:r>
    </w:p>
    <w:p w14:paraId="20F3183A">
      <w:pPr>
        <w:spacing w:line="560" w:lineRule="exact"/>
        <w:ind w:firstLine="640" w:firstLineChars="200"/>
        <w:rPr>
          <w:rFonts w:ascii="仿宋_GB2312" w:eastAsia="仿宋_GB2312"/>
          <w:sz w:val="32"/>
          <w:szCs w:val="32"/>
        </w:rPr>
      </w:pPr>
      <w:r>
        <w:rPr>
          <w:rFonts w:hint="eastAsia" w:ascii="仿宋_GB2312" w:eastAsia="仿宋_GB2312"/>
          <w:sz w:val="32"/>
          <w:szCs w:val="32"/>
        </w:rPr>
        <w:t>6.发动专业部师生参加学校“学雷锋”清理校园环境活动，重新规划教室学习环境布置，做好教室外走廊花圃绿化，精心布置班级文化墙和荣誉墙，带领学生美化校园环境。继续加强壮大电子科技协会的业务能力，指派专业课教师加强对电子科技协会成员的指导，增补了23级社团新成员，定期到各社区开展义务维修志愿服务。</w:t>
      </w:r>
    </w:p>
    <w:p w14:paraId="30DEA1D6">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（四）科研工作</w:t>
      </w:r>
    </w:p>
    <w:p w14:paraId="7C164935">
      <w:pPr>
        <w:spacing w:line="560" w:lineRule="exact"/>
        <w:ind w:firstLine="640" w:firstLineChars="200"/>
        <w:rPr>
          <w:rFonts w:ascii="仿宋_GB2312" w:eastAsia="仿宋_GB2312"/>
          <w:sz w:val="32"/>
          <w:szCs w:val="32"/>
        </w:rPr>
      </w:pPr>
      <w:r>
        <w:rPr>
          <w:rFonts w:hint="eastAsia" w:ascii="仿宋_GB2312" w:eastAsia="仿宋_GB2312"/>
          <w:sz w:val="32"/>
          <w:szCs w:val="32"/>
        </w:rPr>
        <w:t>扎实推进教育教学的科研工作，通过专题培训和科研交流，积极营造机电技术专业部的科研氛围。依托电子电器名师工作室指导年轻教师开展课题申报和在研课题的研究工作，邀请唐锡海教授到校进行教学成果申报，科研课题立项等专题讲座。其中谢伟申报了市级《校企互嵌机电技术专业群生产性“教学工场”建设探索与实践》的成果奖，虽然没有获奖，但积累经验锻炼队伍；杨清松主持的市级课题“基于信息化2.0背景下《空调设备》课程混合式教学的实践与研究”顺利结题，杨清松的“数字化转型背景下中职机电专业群线上开放精品课程的设计与开发一以《电工技术基础与技能》课程为例”申报区级课题获批立项，卜丽妍主持的““三教”改革背景下中职《电工技术基础与技能》课程的教学研究与实践”和魏江湖老师主持的“人工智能助力中职汽车电路识图课程教学改革的研究与实践”两个课题项目获南宁市教育教学改革研究项目立项。</w:t>
      </w:r>
    </w:p>
    <w:p w14:paraId="5A239AAA">
      <w:pPr>
        <w:spacing w:line="56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（五）其他工作</w:t>
      </w:r>
    </w:p>
    <w:p w14:paraId="7A7D7777">
      <w:pPr>
        <w:spacing w:line="560" w:lineRule="exact"/>
        <w:ind w:firstLine="640" w:firstLineChars="200"/>
        <w:rPr>
          <w:rFonts w:ascii="仿宋_GB2312" w:eastAsia="仿宋_GB2312"/>
          <w:sz w:val="32"/>
          <w:szCs w:val="32"/>
        </w:rPr>
      </w:pPr>
      <w:r>
        <w:rPr>
          <w:rFonts w:hint="eastAsia" w:ascii="仿宋_GB2312" w:eastAsia="仿宋_GB2312"/>
          <w:sz w:val="32"/>
          <w:szCs w:val="32"/>
        </w:rPr>
        <w:t>1.个人教学方面，</w:t>
      </w:r>
      <w:bookmarkStart w:id="0" w:name="_GoBack"/>
      <w:bookmarkEnd w:id="0"/>
      <w:r>
        <w:rPr>
          <w:rFonts w:hint="eastAsia" w:ascii="仿宋_GB2312" w:eastAsia="仿宋_GB2312"/>
          <w:sz w:val="32"/>
          <w:szCs w:val="32"/>
        </w:rPr>
        <w:t>本年度担任22机电1、23机电2、8、9班的《汽车空调》、《电子技术基础与技能》、《电力拖动》等课程讲授任务，4节/周/班，教学工作量饱满，能认真备课，针对中职生特点，注重教育教学方法，注重信息化教学手段的使用，强化学生的实训技能，在课堂中融入在实用技能知识点，以常见电路结构认知和维护维修为主，克服实训设备少、设备部分已经缺损等问题，讲练结合，教学效果受学生的好评。</w:t>
      </w:r>
    </w:p>
    <w:p w14:paraId="60FF8ABC">
      <w:pPr>
        <w:spacing w:line="560" w:lineRule="exact"/>
        <w:ind w:firstLine="640" w:firstLineChars="200"/>
        <w:rPr>
          <w:rFonts w:ascii="仿宋_GB2312" w:eastAsia="仿宋_GB2312"/>
          <w:sz w:val="32"/>
          <w:szCs w:val="32"/>
        </w:rPr>
      </w:pPr>
      <w:r>
        <w:rPr>
          <w:rFonts w:hint="eastAsia" w:ascii="仿宋_GB2312" w:eastAsia="仿宋_GB2312"/>
          <w:sz w:val="32"/>
          <w:szCs w:val="32"/>
        </w:rPr>
        <w:t>2.个人培训方面，本年度学习培训主要有8月份的南宁市第六职业技术学校中层及以上管理干部素养提升班，10月份广西“亚行贷款”职业学校 教师培训项目 ——产教融合发展专题研修班，11月份南宁市教育系统中小学校党组织书记能力提升培训班等，还参加了2024年度普法考试、公需科目、暑期教师研修专题培训和广西干部网络学院等线上培训学习，拓展了教育理念，提升了专业知识和自我修养。在科研方面，本年度参与1项区级课题1项市级课题获立项，主要参与的市级课题《基于信息化2.0背景下&lt;空调设备&gt;课程混合式教学的实践与研究》获结题。</w:t>
      </w:r>
    </w:p>
    <w:p w14:paraId="530649BD">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一年来，本人按照年初制定的个人发展规划，有步骤地开展实施，取得了一定的效果，我坚信，有上级领导的亲切关怀，有全体专业部教师的共同努力，今后发展步伐会更快！</w:t>
      </w:r>
    </w:p>
    <w:p w14:paraId="49F2B011">
      <w:pPr>
        <w:spacing w:line="560" w:lineRule="exact"/>
        <w:ind w:firstLine="640" w:firstLineChars="200"/>
        <w:rPr>
          <w:rFonts w:hint="eastAsia" w:ascii="仿宋_GB2312" w:eastAsia="仿宋_GB2312"/>
          <w:sz w:val="32"/>
          <w:szCs w:val="32"/>
        </w:rPr>
      </w:pPr>
    </w:p>
    <w:p w14:paraId="72A65C1D">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14:paraId="47A6EE65">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2025</w:t>
      </w:r>
      <w:r>
        <w:rPr>
          <w:rFonts w:hint="eastAsia" w:ascii="仿宋_GB2312" w:eastAsia="仿宋_GB2312"/>
          <w:sz w:val="32"/>
          <w:szCs w:val="32"/>
          <w:lang w:val="en-US" w:eastAsia="zh-CN"/>
        </w:rPr>
        <w:t>年</w:t>
      </w:r>
      <w:r>
        <w:rPr>
          <w:rFonts w:hint="eastAsia" w:ascii="仿宋_GB2312" w:eastAsia="仿宋_GB2312"/>
          <w:sz w:val="32"/>
          <w:szCs w:val="32"/>
        </w:rPr>
        <w:t>1</w:t>
      </w:r>
      <w:r>
        <w:rPr>
          <w:rFonts w:hint="eastAsia" w:ascii="仿宋_GB2312" w:eastAsia="仿宋_GB2312"/>
          <w:sz w:val="32"/>
          <w:szCs w:val="32"/>
          <w:lang w:val="en-US" w:eastAsia="zh-CN"/>
        </w:rPr>
        <w:t>月</w:t>
      </w:r>
      <w:r>
        <w:rPr>
          <w:rFonts w:hint="eastAsia" w:ascii="仿宋_GB2312" w:eastAsia="仿宋_GB2312"/>
          <w:sz w:val="32"/>
          <w:szCs w:val="32"/>
        </w:rPr>
        <w:t>6</w:t>
      </w:r>
      <w:r>
        <w:rPr>
          <w:rFonts w:hint="eastAsia" w:ascii="仿宋_GB2312" w:eastAsia="仿宋_GB2312"/>
          <w:sz w:val="32"/>
          <w:szCs w:val="32"/>
          <w:lang w:val="en-US" w:eastAsia="zh-CN"/>
        </w:rPr>
        <w:t>日</w:t>
      </w:r>
      <w:r>
        <w:rPr>
          <w:rFonts w:hint="eastAsia" w:ascii="仿宋_GB2312" w:eastAsia="仿宋_GB2312"/>
          <w:sz w:val="32"/>
          <w:szCs w:val="32"/>
        </w:rPr>
        <w:t xml:space="preserve">     </w:t>
      </w:r>
      <w:r>
        <w:rPr>
          <w:rFonts w:hint="eastAsia" w:ascii="仿宋_GB2312" w:eastAsia="仿宋_GB2312"/>
          <w:color w:val="FF0000"/>
          <w:sz w:val="32"/>
          <w:szCs w:val="32"/>
        </w:rPr>
        <w:t xml:space="preserve">  </w:t>
      </w:r>
      <w:r>
        <w:rPr>
          <w:rFonts w:hint="eastAsia" w:ascii="仿宋_GB2312" w:eastAsia="仿宋_GB2312"/>
          <w:sz w:val="32"/>
          <w:szCs w:val="32"/>
        </w:rPr>
        <w:t xml:space="preserve">                                                 </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A1229E-D4AC-42E6-989C-0F47E3ED7D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53A6607-E9C0-4D08-AE1C-AACE53481B1D}"/>
  </w:font>
  <w:font w:name="方正小标宋简体">
    <w:panose1 w:val="02000000000000000000"/>
    <w:charset w:val="86"/>
    <w:family w:val="script"/>
    <w:pitch w:val="default"/>
    <w:sig w:usb0="00000001" w:usb1="080E0000" w:usb2="00000000" w:usb3="00000000" w:csb0="00040000" w:csb1="00000000"/>
    <w:embedRegular r:id="rId3" w:fontKey="{7C953E7E-FFB6-4D2E-95C6-49E68359673C}"/>
  </w:font>
  <w:font w:name="仿宋_GB2312">
    <w:panose1 w:val="02010609030101010101"/>
    <w:charset w:val="86"/>
    <w:family w:val="modern"/>
    <w:pitch w:val="default"/>
    <w:sig w:usb0="00000001" w:usb1="080E0000" w:usb2="00000000" w:usb3="00000000" w:csb0="00040000" w:csb1="00000000"/>
    <w:embedRegular r:id="rId4" w:fontKey="{732F177D-CB65-4195-8756-0678F6E6937D}"/>
  </w:font>
  <w:font w:name="楷体_GB2312">
    <w:panose1 w:val="02010609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华文隶书">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627"/>
    <w:rsid w:val="00015A09"/>
    <w:rsid w:val="00023BEB"/>
    <w:rsid w:val="0002761B"/>
    <w:rsid w:val="00052AE3"/>
    <w:rsid w:val="00091CB3"/>
    <w:rsid w:val="000B370A"/>
    <w:rsid w:val="000C7A99"/>
    <w:rsid w:val="000D3622"/>
    <w:rsid w:val="000F4536"/>
    <w:rsid w:val="00127305"/>
    <w:rsid w:val="00135815"/>
    <w:rsid w:val="001441ED"/>
    <w:rsid w:val="00177C1B"/>
    <w:rsid w:val="0019063C"/>
    <w:rsid w:val="0019556D"/>
    <w:rsid w:val="001D4667"/>
    <w:rsid w:val="001F7D7A"/>
    <w:rsid w:val="002077E9"/>
    <w:rsid w:val="00250067"/>
    <w:rsid w:val="002515B0"/>
    <w:rsid w:val="002644E5"/>
    <w:rsid w:val="00281407"/>
    <w:rsid w:val="00285ED2"/>
    <w:rsid w:val="00294A52"/>
    <w:rsid w:val="002A1FFE"/>
    <w:rsid w:val="002B241D"/>
    <w:rsid w:val="002B460F"/>
    <w:rsid w:val="002C4DCC"/>
    <w:rsid w:val="002C60F7"/>
    <w:rsid w:val="002E2FEB"/>
    <w:rsid w:val="002F2885"/>
    <w:rsid w:val="002F3627"/>
    <w:rsid w:val="002F6B73"/>
    <w:rsid w:val="0031310F"/>
    <w:rsid w:val="0032044C"/>
    <w:rsid w:val="0032388E"/>
    <w:rsid w:val="0032422F"/>
    <w:rsid w:val="00340997"/>
    <w:rsid w:val="003563B2"/>
    <w:rsid w:val="003743F9"/>
    <w:rsid w:val="00376222"/>
    <w:rsid w:val="0039355D"/>
    <w:rsid w:val="003C1E2D"/>
    <w:rsid w:val="00425745"/>
    <w:rsid w:val="00435F3A"/>
    <w:rsid w:val="00442E38"/>
    <w:rsid w:val="00461C8E"/>
    <w:rsid w:val="00466C3F"/>
    <w:rsid w:val="00496790"/>
    <w:rsid w:val="004D30FB"/>
    <w:rsid w:val="00530A57"/>
    <w:rsid w:val="00536006"/>
    <w:rsid w:val="00550898"/>
    <w:rsid w:val="0057060B"/>
    <w:rsid w:val="00570E1B"/>
    <w:rsid w:val="005A0C1A"/>
    <w:rsid w:val="005E26F2"/>
    <w:rsid w:val="005F2BC7"/>
    <w:rsid w:val="005F692B"/>
    <w:rsid w:val="00621F96"/>
    <w:rsid w:val="00632D06"/>
    <w:rsid w:val="00654FC7"/>
    <w:rsid w:val="00657618"/>
    <w:rsid w:val="006706F8"/>
    <w:rsid w:val="00680839"/>
    <w:rsid w:val="006B2FB6"/>
    <w:rsid w:val="006E2587"/>
    <w:rsid w:val="0070128C"/>
    <w:rsid w:val="00732ACC"/>
    <w:rsid w:val="00740456"/>
    <w:rsid w:val="00754BCF"/>
    <w:rsid w:val="007659AE"/>
    <w:rsid w:val="007731E1"/>
    <w:rsid w:val="007A3545"/>
    <w:rsid w:val="007A548A"/>
    <w:rsid w:val="007B1891"/>
    <w:rsid w:val="007C30CB"/>
    <w:rsid w:val="007C3273"/>
    <w:rsid w:val="00800273"/>
    <w:rsid w:val="00800CF8"/>
    <w:rsid w:val="00867F1B"/>
    <w:rsid w:val="008A1001"/>
    <w:rsid w:val="00933EDD"/>
    <w:rsid w:val="00963F18"/>
    <w:rsid w:val="00974853"/>
    <w:rsid w:val="009C3175"/>
    <w:rsid w:val="009C6FE5"/>
    <w:rsid w:val="009E0657"/>
    <w:rsid w:val="00A23AD6"/>
    <w:rsid w:val="00A51289"/>
    <w:rsid w:val="00A513F6"/>
    <w:rsid w:val="00A623BC"/>
    <w:rsid w:val="00A70710"/>
    <w:rsid w:val="00A70C12"/>
    <w:rsid w:val="00A7661A"/>
    <w:rsid w:val="00A875EF"/>
    <w:rsid w:val="00AB4293"/>
    <w:rsid w:val="00AB4E9D"/>
    <w:rsid w:val="00AB59BB"/>
    <w:rsid w:val="00AC10E8"/>
    <w:rsid w:val="00AC1262"/>
    <w:rsid w:val="00AC4146"/>
    <w:rsid w:val="00AF5841"/>
    <w:rsid w:val="00AF639A"/>
    <w:rsid w:val="00B054F2"/>
    <w:rsid w:val="00B206DD"/>
    <w:rsid w:val="00B3103F"/>
    <w:rsid w:val="00B42F01"/>
    <w:rsid w:val="00B525C0"/>
    <w:rsid w:val="00B62AA9"/>
    <w:rsid w:val="00B7566A"/>
    <w:rsid w:val="00B81980"/>
    <w:rsid w:val="00B934F9"/>
    <w:rsid w:val="00BE526E"/>
    <w:rsid w:val="00C1506A"/>
    <w:rsid w:val="00C31890"/>
    <w:rsid w:val="00C70F50"/>
    <w:rsid w:val="00C81204"/>
    <w:rsid w:val="00CE3A33"/>
    <w:rsid w:val="00D807C8"/>
    <w:rsid w:val="00D9358B"/>
    <w:rsid w:val="00DB527B"/>
    <w:rsid w:val="00DC6E32"/>
    <w:rsid w:val="00E021DA"/>
    <w:rsid w:val="00E036D0"/>
    <w:rsid w:val="00E03FFE"/>
    <w:rsid w:val="00E0543A"/>
    <w:rsid w:val="00E056D7"/>
    <w:rsid w:val="00E733FE"/>
    <w:rsid w:val="00E933EB"/>
    <w:rsid w:val="00E9679C"/>
    <w:rsid w:val="00EE03CC"/>
    <w:rsid w:val="00EE4AF0"/>
    <w:rsid w:val="00EE7725"/>
    <w:rsid w:val="00F07C6A"/>
    <w:rsid w:val="00F158BE"/>
    <w:rsid w:val="00F32623"/>
    <w:rsid w:val="00F35FE5"/>
    <w:rsid w:val="00FB7FD1"/>
    <w:rsid w:val="00FC3C74"/>
    <w:rsid w:val="755E7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3A227F-E4EF-4491-A77B-CA1F9F669553}">
  <ds:schemaRefs/>
</ds:datastoreItem>
</file>

<file path=docProps/app.xml><?xml version="1.0" encoding="utf-8"?>
<Properties xmlns="http://schemas.openxmlformats.org/officeDocument/2006/extended-properties" xmlns:vt="http://schemas.openxmlformats.org/officeDocument/2006/docPropsVTypes">
  <Template>Normal</Template>
  <Pages>7</Pages>
  <Words>3613</Words>
  <Characters>3706</Characters>
  <Lines>27</Lines>
  <Paragraphs>7</Paragraphs>
  <TotalTime>593</TotalTime>
  <ScaleCrop>false</ScaleCrop>
  <LinksUpToDate>false</LinksUpToDate>
  <CharactersWithSpaces>3804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2020-12-22T01:41:00Z</dcterms:created>
  <dc:creator>WIN</dc:creator>
  <cp:lastModifiedBy>李政辉</cp:lastModifiedBy>
  <dcterms:modified xsi:type="dcterms:W3CDTF">2025-01-09T12:24:16Z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eyJoZGlkIjoiODRjNzQ4NzZmZTUwOTZiYjU1Y2Y5NzgxMjZiYjM3OGYiLCJ1c2VySWQiOiIzMTM0NDEwNjYifQ==</vt:lpwstr>
  </property>
  <property fmtid="{D5CDD505-2E9C-101B-9397-08002B2CF9AE}" pid="3" name="KSOProductBuildVer">
    <vt:lpwstr>2052-12.1.0.19302</vt:lpwstr>
  </property>
  <property fmtid="{D5CDD505-2E9C-101B-9397-08002B2CF9AE}" pid="4" name="ICV">
    <vt:lpwstr>F0AAF2B947B542AD847BCBD5C5708163_12</vt:lpwstr>
  </property>
</Properties>
</file>