
<file path=[Content_Types].xml><?xml version="1.0" encoding="utf-8"?>
<Types xmlns="http://schemas.openxmlformats.org/package/2006/content-types">
  <Default ContentType="application/vnd.openxmlformats-package.relationships+xml" Extension="rels"/>
  <Default ContentType="application/vnd.openxmlformats-officedocument.spreadsheetml.sheet" Extension="xlsx"/>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customXmlProperties+xml" PartName="/customXml/itemProps4.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bCs/>
          <w:color w:val="000000" w:themeColor="text1"/>
          <w:sz w:val="52"/>
          <w:szCs w:val="5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bCs/>
          <w:color w:val="000000" w:themeColor="text1"/>
          <w:sz w:val="52"/>
          <w:szCs w:val="5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center"/>
        <w:textAlignment w:val="auto"/>
        <w:rPr>
          <w:rFonts w:ascii="黑体" w:hAnsi="黑体" w:eastAsia="黑体" w:cs="黑体"/>
          <w:b/>
          <w:bCs/>
          <w:color w:val="000000" w:themeColor="text1"/>
          <w:sz w:val="52"/>
          <w:szCs w:val="52"/>
          <w:highlight w:val="none"/>
          <w14:textFill>
            <w14:solidFill>
              <w14:schemeClr w14:val="tx1"/>
            </w14:solidFill>
          </w14:textFill>
        </w:rPr>
      </w:pPr>
      <w:r>
        <w:rPr>
          <w:rFonts w:hint="eastAsia" w:ascii="黑体" w:hAnsi="黑体" w:eastAsia="黑体" w:cs="黑体"/>
          <w:b/>
          <w:bCs/>
          <w:color w:val="000000" w:themeColor="text1"/>
          <w:sz w:val="52"/>
          <w:szCs w:val="52"/>
          <w:highlight w:val="none"/>
          <w14:textFill>
            <w14:solidFill>
              <w14:schemeClr w14:val="tx1"/>
            </w14:solidFill>
          </w14:textFill>
        </w:rPr>
        <w:t>南宁市第二中学</w:t>
      </w:r>
      <w:r>
        <w:rPr>
          <w:rFonts w:hint="eastAsia" w:ascii="黑体" w:hAnsi="黑体" w:eastAsia="黑体" w:cs="黑体"/>
          <w:b/>
          <w:bCs/>
          <w:color w:val="000000" w:themeColor="text1"/>
          <w:sz w:val="52"/>
          <w:szCs w:val="52"/>
          <w:highlight w:val="none"/>
          <w:lang w:eastAsia="zh-CN"/>
          <w14:textFill>
            <w14:solidFill>
              <w14:schemeClr w14:val="tx1"/>
            </w14:solidFill>
          </w14:textFill>
        </w:rPr>
        <w:t>2023年</w:t>
      </w:r>
      <w:r>
        <w:rPr>
          <w:rFonts w:hint="eastAsia" w:ascii="黑体" w:hAnsi="黑体" w:eastAsia="黑体" w:cs="黑体"/>
          <w:b/>
          <w:bCs/>
          <w:color w:val="000000" w:themeColor="text1"/>
          <w:sz w:val="52"/>
          <w:szCs w:val="52"/>
          <w:highlight w:val="none"/>
          <w14:textFill>
            <w14:solidFill>
              <w14:schemeClr w14:val="tx1"/>
            </w14:solidFill>
          </w14:textFill>
        </w:rPr>
        <w:t>度部门决算</w:t>
      </w:r>
    </w:p>
    <w:p>
      <w:pPr>
        <w:keepNext w:val="0"/>
        <w:keepLines w:val="0"/>
        <w:pageBreakBefore w:val="0"/>
        <w:widowControl w:val="0"/>
        <w:kinsoku/>
        <w:wordWrap/>
        <w:overflowPunct/>
        <w:topLinePunct w:val="0"/>
        <w:bidi w:val="0"/>
        <w:snapToGrid/>
        <w:spacing w:line="360" w:lineRule="auto"/>
        <w:jc w:val="center"/>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textAlignment w:val="auto"/>
        <w:rPr>
          <w:rFonts w:ascii="仿宋" w:hAnsi="仿宋" w:eastAsia="仿宋" w:cs="仿宋"/>
          <w:color w:val="000000" w:themeColor="text1"/>
          <w:sz w:val="32"/>
          <w:szCs w:val="32"/>
          <w:highlight w:val="none"/>
          <w14:textFill>
            <w14:solidFill>
              <w14:schemeClr w14:val="tx1"/>
            </w14:solidFill>
          </w14:textFill>
        </w:rPr>
      </w:pPr>
      <w:r>
        <w:br w:type="page"/>
      </w:r>
    </w:p>
    <w:p>
      <w:pPr>
        <w:keepNext w:val="0"/>
        <w:keepLines w:val="0"/>
        <w:pageBreakBefore w:val="0"/>
        <w:widowControl w:val="0"/>
        <w:kinsoku/>
        <w:wordWrap/>
        <w:overflowPunct/>
        <w:topLinePunct w:val="0"/>
        <w:bidi w:val="0"/>
        <w:snapToGrid/>
        <w:spacing w:line="360" w:lineRule="auto"/>
        <w:jc w:val="center"/>
        <w:textAlignment w:val="auto"/>
        <w:rPr>
          <w:rFonts w:ascii="黑体" w:hAnsi="黑体" w:eastAsia="黑体" w:cs="黑体"/>
          <w:b/>
          <w:bCs/>
          <w:color w:val="000000" w:themeColor="text1"/>
          <w:sz w:val="36"/>
          <w:szCs w:val="36"/>
          <w:highlight w:val="none"/>
          <w14:textFill>
            <w14:solidFill>
              <w14:schemeClr w14:val="tx1"/>
            </w14:solidFill>
          </w14:textFill>
        </w:rPr>
      </w:pPr>
      <w:r>
        <w:rPr>
          <w:rFonts w:hint="eastAsia" w:ascii="黑体" w:hAnsi="黑体" w:eastAsia="黑体" w:cs="黑体"/>
          <w:b/>
          <w:bCs/>
          <w:color w:val="000000" w:themeColor="text1"/>
          <w:sz w:val="36"/>
          <w:szCs w:val="36"/>
          <w:highlight w:val="none"/>
          <w14:textFill>
            <w14:solidFill>
              <w14:schemeClr w14:val="tx1"/>
            </w14:solidFill>
          </w14:textFill>
        </w:rPr>
        <w:t>目  录</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b/>
          <w:bCs/>
          <w:color w:val="000000" w:themeColor="text1"/>
          <w:sz w:val="36"/>
          <w:szCs w:val="36"/>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第一部分：</w:t>
      </w:r>
      <w:r>
        <w:rPr>
          <w:rFonts w:ascii="黑体" w:hAnsi="黑体" w:eastAsia="黑体" w:cs="黑体"/>
          <w:color w:val="000000"/>
          <w:sz w:val="32"/>
          <w:u w:color="auto"/>
        </w:rPr>
        <w:t>南宁市第二中学</w:t>
      </w:r>
      <w:r>
        <w:rPr>
          <w:rFonts w:hint="eastAsia" w:ascii="黑体" w:hAnsi="黑体" w:eastAsia="黑体" w:cs="黑体"/>
          <w:color w:val="000000" w:themeColor="text1"/>
          <w:sz w:val="32"/>
          <w:szCs w:val="32"/>
          <w:highlight w:val="none"/>
          <w14:textFill>
            <w14:solidFill>
              <w14:schemeClr w14:val="tx1"/>
            </w14:solidFill>
          </w14:textFill>
        </w:rPr>
        <w:t>概况</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一、主要职能</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二、部门决算单位构成</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第二部分：</w:t>
      </w:r>
      <w:r>
        <w:rPr>
          <w:rFonts w:ascii="黑体" w:hAnsi="黑体" w:eastAsia="黑体" w:cs="黑体"/>
          <w:color w:val="000000"/>
          <w:sz w:val="32"/>
          <w:u w:color="auto"/>
        </w:rPr>
        <w:t>南宁市第二中学</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度部门决算报表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表一：收入支出决算总表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表二：收入决算表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表三：支出决算表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表四：财政拨款收入支出决算总表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表五：一般公共预算财政拨款支出决算表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表六：一般公共预算财政拨款基本支出决算明细表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表七：政府性基金</w:t>
      </w:r>
      <w:r>
        <w:rPr>
          <w:rFonts w:hint="eastAsia" w:ascii="仿宋_GB2312" w:hAnsi="黑体" w:eastAsia="仿宋_GB2312"/>
          <w:color w:val="000000" w:themeColor="text1"/>
          <w:sz w:val="32"/>
          <w:szCs w:val="32"/>
          <w:highlight w:val="none"/>
          <w14:textFill>
            <w14:solidFill>
              <w14:schemeClr w14:val="tx1"/>
            </w14:solidFill>
          </w14:textFill>
        </w:rPr>
        <w:t>预算财政拨款</w:t>
      </w:r>
      <w:r>
        <w:rPr>
          <w:rFonts w:hint="eastAsia" w:ascii="仿宋_GB2312" w:eastAsia="仿宋_GB2312"/>
          <w:color w:val="000000" w:themeColor="text1"/>
          <w:sz w:val="32"/>
          <w:szCs w:val="32"/>
          <w:highlight w:val="none"/>
          <w14:textFill>
            <w14:solidFill>
              <w14:schemeClr w14:val="tx1"/>
            </w14:solidFill>
          </w14:textFill>
        </w:rPr>
        <w:t>收入支出决算表</w:t>
      </w:r>
    </w:p>
    <w:p>
      <w:pPr>
        <w:keepNext w:val="0"/>
        <w:keepLines w:val="0"/>
        <w:pageBreakBefore w:val="0"/>
        <w:widowControl w:val="0"/>
        <w:kinsoku/>
        <w:wordWrap/>
        <w:overflowPunct/>
        <w:topLinePunct w:val="0"/>
        <w:bidi w:val="0"/>
        <w:snapToGrid/>
        <w:spacing w:line="360" w:lineRule="auto"/>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表八：国有资本经营预算</w:t>
      </w:r>
      <w:r>
        <w:rPr>
          <w:rFonts w:hint="eastAsia" w:ascii="仿宋_GB2312" w:hAnsi="黑体" w:eastAsia="仿宋_GB2312"/>
          <w:color w:val="000000" w:themeColor="text1"/>
          <w:sz w:val="32"/>
          <w:szCs w:val="32"/>
          <w:highlight w:val="none"/>
          <w14:textFill>
            <w14:solidFill>
              <w14:schemeClr w14:val="tx1"/>
            </w14:solidFill>
          </w14:textFill>
        </w:rPr>
        <w:t>财政拨款</w:t>
      </w:r>
      <w:r>
        <w:rPr>
          <w:rFonts w:hint="eastAsia" w:ascii="仿宋_GB2312" w:eastAsia="仿宋_GB2312"/>
          <w:color w:val="000000" w:themeColor="text1"/>
          <w:sz w:val="32"/>
          <w:szCs w:val="32"/>
          <w:highlight w:val="none"/>
          <w14:textFill>
            <w14:solidFill>
              <w14:schemeClr w14:val="tx1"/>
            </w14:solidFill>
          </w14:textFill>
        </w:rPr>
        <w:t>支出决算表</w:t>
      </w:r>
    </w:p>
    <w:p>
      <w:pPr>
        <w:keepNext w:val="0"/>
        <w:keepLines w:val="0"/>
        <w:pageBreakBefore w:val="0"/>
        <w:widowControl w:val="0"/>
        <w:kinsoku/>
        <w:wordWrap/>
        <w:overflowPunct/>
        <w:topLinePunct w:val="0"/>
        <w:bidi w:val="0"/>
        <w:snapToGrid/>
        <w:spacing w:line="360" w:lineRule="auto"/>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表九：财政拨款“三公”经费支出决算表</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第三部分：</w:t>
      </w:r>
      <w:r>
        <w:rPr>
          <w:rFonts w:ascii="黑体" w:hAnsi="黑体" w:eastAsia="黑体" w:cs="黑体"/>
          <w:color w:val="000000"/>
          <w:sz w:val="32"/>
          <w:u w:color="auto"/>
        </w:rPr>
        <w:t>南宁市第二中学</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度部门决算情况说明</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eastAsia="仿宋_GB2312" w:cs="仿宋_GB2312"/>
          <w:color w:val="000000" w:themeColor="text1"/>
          <w:kern w:val="0"/>
          <w:sz w:val="32"/>
          <w:szCs w:val="32"/>
          <w:highlight w:val="none"/>
          <w14:textFill>
            <w14:solidFill>
              <w14:schemeClr w14:val="tx1"/>
            </w14:solidFill>
          </w14:textFill>
        </w:rPr>
        <w:t>一、</w:t>
      </w:r>
      <w:r>
        <w:rPr>
          <w:rFonts w:hint="eastAsia" w:ascii="仿宋_GB2312" w:eastAsia="仿宋_GB2312"/>
          <w:color w:val="000000" w:themeColor="text1"/>
          <w:kern w:val="0"/>
          <w:sz w:val="32"/>
          <w:szCs w:val="32"/>
          <w:highlight w:val="none"/>
          <w:lang w:eastAsia="zh-CN"/>
          <w14:textFill>
            <w14:solidFill>
              <w14:schemeClr w14:val="tx1"/>
            </w14:solidFill>
          </w14:textFill>
        </w:rPr>
        <w:t>2023年</w:t>
      </w:r>
      <w:r>
        <w:rPr>
          <w:rFonts w:hint="eastAsia" w:ascii="仿宋_GB2312" w:eastAsia="仿宋_GB2312" w:cs="仿宋_GB2312"/>
          <w:color w:val="000000" w:themeColor="text1"/>
          <w:kern w:val="0"/>
          <w:sz w:val="32"/>
          <w:szCs w:val="32"/>
          <w:highlight w:val="none"/>
          <w14:textFill>
            <w14:solidFill>
              <w14:schemeClr w14:val="tx1"/>
            </w14:solidFill>
          </w14:textFill>
        </w:rPr>
        <w:t>度收入支出决算总体情况。</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eastAsia="仿宋_GB2312" w:cs="仿宋_GB2312"/>
          <w:color w:val="000000" w:themeColor="text1"/>
          <w:kern w:val="0"/>
          <w:sz w:val="32"/>
          <w:szCs w:val="32"/>
          <w:highlight w:val="none"/>
          <w14:textFill>
            <w14:solidFill>
              <w14:schemeClr w14:val="tx1"/>
            </w14:solidFill>
          </w14:textFill>
        </w:rPr>
        <w:t>二、</w:t>
      </w:r>
      <w:r>
        <w:rPr>
          <w:rFonts w:hint="eastAsia" w:ascii="仿宋_GB2312" w:eastAsia="仿宋_GB2312"/>
          <w:color w:val="000000" w:themeColor="text1"/>
          <w:kern w:val="0"/>
          <w:sz w:val="32"/>
          <w:szCs w:val="32"/>
          <w:highlight w:val="none"/>
          <w:lang w:eastAsia="zh-CN"/>
          <w14:textFill>
            <w14:solidFill>
              <w14:schemeClr w14:val="tx1"/>
            </w14:solidFill>
          </w14:textFill>
        </w:rPr>
        <w:t>2023年</w:t>
      </w:r>
      <w:r>
        <w:rPr>
          <w:rFonts w:hint="eastAsia" w:ascii="仿宋_GB2312" w:eastAsia="仿宋_GB2312" w:cs="仿宋_GB2312"/>
          <w:color w:val="000000" w:themeColor="text1"/>
          <w:kern w:val="0"/>
          <w:sz w:val="32"/>
          <w:szCs w:val="32"/>
          <w:highlight w:val="none"/>
          <w14:textFill>
            <w14:solidFill>
              <w14:schemeClr w14:val="tx1"/>
            </w14:solidFill>
          </w14:textFill>
        </w:rPr>
        <w:t>度</w:t>
      </w:r>
      <w:r>
        <w:rPr>
          <w:rFonts w:hint="eastAsia" w:ascii="仿宋_GB2312" w:eastAsia="仿宋_GB2312"/>
          <w:color w:val="000000" w:themeColor="text1"/>
          <w:sz w:val="32"/>
          <w:szCs w:val="32"/>
          <w:highlight w:val="none"/>
          <w14:textFill>
            <w14:solidFill>
              <w14:schemeClr w14:val="tx1"/>
            </w14:solidFill>
          </w14:textFill>
        </w:rPr>
        <w:t>一般</w:t>
      </w:r>
      <w:r>
        <w:rPr>
          <w:rFonts w:hint="eastAsia" w:ascii="仿宋_GB2312" w:eastAsia="仿宋_GB2312" w:cs="仿宋_GB2312"/>
          <w:color w:val="000000" w:themeColor="text1"/>
          <w:kern w:val="0"/>
          <w:sz w:val="32"/>
          <w:szCs w:val="32"/>
          <w:highlight w:val="none"/>
          <w14:textFill>
            <w14:solidFill>
              <w14:schemeClr w14:val="tx1"/>
            </w14:solidFill>
          </w14:textFill>
        </w:rPr>
        <w:t>公共预算财政拨款支出决算情况。</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eastAsia="仿宋_GB2312" w:cs="仿宋_GB2312"/>
          <w:color w:val="000000" w:themeColor="text1"/>
          <w:kern w:val="0"/>
          <w:sz w:val="32"/>
          <w:szCs w:val="32"/>
          <w:highlight w:val="none"/>
          <w14:textFill>
            <w14:solidFill>
              <w14:schemeClr w14:val="tx1"/>
            </w14:solidFill>
          </w14:textFill>
        </w:rPr>
        <w:t>三、</w:t>
      </w:r>
      <w:r>
        <w:rPr>
          <w:rFonts w:hint="eastAsia" w:ascii="仿宋_GB2312" w:eastAsia="仿宋_GB2312" w:cs="仿宋_GB2312"/>
          <w:color w:val="000000" w:themeColor="text1"/>
          <w:kern w:val="0"/>
          <w:sz w:val="32"/>
          <w:szCs w:val="32"/>
          <w:highlight w:val="none"/>
          <w:lang w:eastAsia="zh-CN"/>
          <w14:textFill>
            <w14:solidFill>
              <w14:schemeClr w14:val="tx1"/>
            </w14:solidFill>
          </w14:textFill>
        </w:rPr>
        <w:t>2023年</w:t>
      </w:r>
      <w:r>
        <w:rPr>
          <w:rFonts w:hint="eastAsia" w:ascii="仿宋_GB2312" w:eastAsia="仿宋_GB2312" w:cs="仿宋_GB2312"/>
          <w:color w:val="000000" w:themeColor="text1"/>
          <w:kern w:val="0"/>
          <w:sz w:val="32"/>
          <w:szCs w:val="32"/>
          <w:highlight w:val="none"/>
          <w14:textFill>
            <w14:solidFill>
              <w14:schemeClr w14:val="tx1"/>
            </w14:solidFill>
          </w14:textFill>
        </w:rPr>
        <w:t>度一般公共预算财政拨款基本支出决算情况说明。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eastAsia="仿宋_GB2312" w:cs="仿宋_GB2312"/>
          <w:color w:val="000000" w:themeColor="text1"/>
          <w:kern w:val="0"/>
          <w:sz w:val="32"/>
          <w:szCs w:val="32"/>
          <w:highlight w:val="none"/>
          <w14:textFill>
            <w14:solidFill>
              <w14:schemeClr w14:val="tx1"/>
            </w14:solidFill>
          </w14:textFill>
        </w:rPr>
        <w:t>四、</w:t>
      </w:r>
      <w:r>
        <w:rPr>
          <w:rFonts w:hint="eastAsia" w:ascii="仿宋_GB2312" w:eastAsia="仿宋_GB2312"/>
          <w:color w:val="000000" w:themeColor="text1"/>
          <w:kern w:val="0"/>
          <w:sz w:val="32"/>
          <w:szCs w:val="32"/>
          <w:highlight w:val="none"/>
          <w:lang w:eastAsia="zh-CN"/>
          <w14:textFill>
            <w14:solidFill>
              <w14:schemeClr w14:val="tx1"/>
            </w14:solidFill>
          </w14:textFill>
        </w:rPr>
        <w:t>2023年</w:t>
      </w:r>
      <w:r>
        <w:rPr>
          <w:rFonts w:hint="eastAsia" w:ascii="仿宋_GB2312" w:eastAsia="仿宋_GB2312" w:cs="仿宋_GB2312"/>
          <w:color w:val="000000" w:themeColor="text1"/>
          <w:kern w:val="0"/>
          <w:sz w:val="32"/>
          <w:szCs w:val="32"/>
          <w:highlight w:val="none"/>
          <w14:textFill>
            <w14:solidFill>
              <w14:schemeClr w14:val="tx1"/>
            </w14:solidFill>
          </w14:textFill>
        </w:rPr>
        <w:t>度政府性基金</w:t>
      </w:r>
      <w:r>
        <w:rPr>
          <w:rFonts w:hint="eastAsia" w:ascii="仿宋_GB2312" w:eastAsia="仿宋_GB2312" w:cs="仿宋_GB2312"/>
          <w:color w:val="000000" w:themeColor="text1"/>
          <w:kern w:val="0"/>
          <w:sz w:val="32"/>
          <w:szCs w:val="32"/>
          <w:highlight w:val="none"/>
          <w:lang w:val="en-US" w:eastAsia="zh-CN"/>
          <w14:textFill>
            <w14:solidFill>
              <w14:schemeClr w14:val="tx1"/>
            </w14:solidFill>
          </w14:textFill>
        </w:rPr>
        <w:t>预算</w:t>
      </w:r>
      <w:r>
        <w:rPr>
          <w:rFonts w:hint="eastAsia" w:ascii="仿宋_GB2312" w:eastAsia="仿宋_GB2312" w:cs="仿宋_GB2312"/>
          <w:color w:val="000000" w:themeColor="text1"/>
          <w:kern w:val="0"/>
          <w:sz w:val="32"/>
          <w:szCs w:val="32"/>
          <w:highlight w:val="none"/>
          <w14:textFill>
            <w14:solidFill>
              <w14:schemeClr w14:val="tx1"/>
            </w14:solidFill>
          </w14:textFill>
        </w:rPr>
        <w:t>支出决算情况。</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仿宋_GB2312" w:eastAsia="仿宋_GB2312" w:cs="仿宋_GB2312"/>
          <w:color w:val="000000" w:themeColor="text1"/>
          <w:kern w:val="0"/>
          <w:sz w:val="32"/>
          <w:szCs w:val="32"/>
          <w:highlight w:val="none"/>
          <w:lang w:eastAsia="zh-CN"/>
          <w14:textFill>
            <w14:solidFill>
              <w14:schemeClr w14:val="tx1"/>
            </w14:solidFill>
          </w14:textFill>
        </w:rPr>
      </w:pPr>
      <w:r>
        <w:rPr>
          <w:rFonts w:hint="eastAsia" w:ascii="仿宋_GB2312" w:eastAsia="仿宋_GB2312" w:cs="仿宋_GB2312"/>
          <w:color w:val="000000" w:themeColor="text1"/>
          <w:kern w:val="0"/>
          <w:sz w:val="32"/>
          <w:szCs w:val="32"/>
          <w:highlight w:val="none"/>
          <w14:textFill>
            <w14:solidFill>
              <w14:schemeClr w14:val="tx1"/>
            </w14:solidFill>
          </w14:textFill>
        </w:rPr>
        <w:t>五、</w:t>
      </w:r>
      <w:r>
        <w:rPr>
          <w:rFonts w:hint="eastAsia" w:ascii="仿宋_GB2312" w:eastAsia="仿宋_GB2312" w:cs="仿宋_GB2312"/>
          <w:color w:val="000000" w:themeColor="text1"/>
          <w:kern w:val="0"/>
          <w:sz w:val="32"/>
          <w:szCs w:val="32"/>
          <w:highlight w:val="none"/>
          <w:lang w:eastAsia="zh-CN"/>
          <w14:textFill>
            <w14:solidFill>
              <w14:schemeClr w14:val="tx1"/>
            </w14:solidFill>
          </w14:textFill>
        </w:rPr>
        <w:t>2023年</w:t>
      </w:r>
      <w:r>
        <w:rPr>
          <w:rFonts w:hint="eastAsia" w:ascii="仿宋_GB2312" w:eastAsia="仿宋_GB2312" w:cs="仿宋_GB2312"/>
          <w:color w:val="000000" w:themeColor="text1"/>
          <w:kern w:val="0"/>
          <w:sz w:val="32"/>
          <w:szCs w:val="32"/>
          <w:highlight w:val="none"/>
          <w14:textFill>
            <w14:solidFill>
              <w14:schemeClr w14:val="tx1"/>
            </w14:solidFill>
          </w14:textFill>
        </w:rPr>
        <w:t>度国有资本经营预算支出决算情况</w:t>
      </w:r>
      <w:r>
        <w:rPr>
          <w:rFonts w:hint="eastAsia" w:ascii="仿宋_GB2312" w:eastAsia="仿宋_GB2312" w:cs="仿宋_GB2312"/>
          <w:color w:val="000000" w:themeColor="text1"/>
          <w:kern w:val="0"/>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eastAsia="仿宋_GB2312" w:cs="仿宋_GB2312"/>
          <w:color w:val="000000" w:themeColor="text1"/>
          <w:kern w:val="0"/>
          <w:sz w:val="32"/>
          <w:szCs w:val="32"/>
          <w:highlight w:val="none"/>
          <w14:textFill>
            <w14:solidFill>
              <w14:schemeClr w14:val="tx1"/>
            </w14:solidFill>
          </w14:textFill>
        </w:rPr>
        <w:t>六、财政拨款</w:t>
      </w:r>
      <w:r>
        <w:rPr>
          <w:rFonts w:hint="eastAsia" w:ascii="仿宋_GB2312" w:eastAsia="仿宋_GB2312" w:cs="仿宋_GB2312"/>
          <w:color w:val="000000" w:themeColor="text1"/>
          <w:kern w:val="0"/>
          <w:sz w:val="32"/>
          <w:szCs w:val="32"/>
          <w:highlight w:val="none"/>
          <w:lang w:val="en-US" w:eastAsia="zh-CN"/>
          <w14:textFill>
            <w14:solidFill>
              <w14:schemeClr w14:val="tx1"/>
            </w14:solidFill>
          </w14:textFill>
        </w:rPr>
        <w:t>安排的</w:t>
      </w:r>
      <w:r>
        <w:rPr>
          <w:rFonts w:hint="eastAsia" w:ascii="仿宋_GB2312" w:eastAsia="仿宋_GB2312" w:cs="仿宋_GB2312"/>
          <w:color w:val="000000" w:themeColor="text1"/>
          <w:kern w:val="0"/>
          <w:sz w:val="32"/>
          <w:szCs w:val="32"/>
          <w:highlight w:val="none"/>
          <w14:textFill>
            <w14:solidFill>
              <w14:schemeClr w14:val="tx1"/>
            </w14:solidFill>
          </w14:textFill>
        </w:rPr>
        <w:t>“三公”经费支出决算情况说明。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仿宋_GB2312" w:eastAsia="仿宋_GB2312" w:cs="仿宋_GB2312"/>
          <w:color w:val="000000" w:themeColor="text1"/>
          <w:kern w:val="0"/>
          <w:sz w:val="32"/>
          <w:szCs w:val="32"/>
          <w:highlight w:val="none"/>
          <w:lang w:eastAsia="zh-CN"/>
          <w14:textFill>
            <w14:solidFill>
              <w14:schemeClr w14:val="tx1"/>
            </w14:solidFill>
          </w14:textFill>
        </w:rPr>
      </w:pPr>
      <w:r>
        <w:rPr>
          <w:rFonts w:hint="eastAsia" w:ascii="仿宋_GB2312" w:eastAsia="仿宋_GB2312" w:cs="仿宋_GB2312"/>
          <w:color w:val="000000" w:themeColor="text1"/>
          <w:kern w:val="0"/>
          <w:sz w:val="32"/>
          <w:szCs w:val="32"/>
          <w:highlight w:val="none"/>
          <w14:textFill>
            <w14:solidFill>
              <w14:schemeClr w14:val="tx1"/>
            </w14:solidFill>
          </w14:textFill>
        </w:rPr>
        <w:t>七、其他重要事项情况说明。</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第四部分：名词解释</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br w:type="page"/>
      </w:r>
    </w:p>
    <w:p>
      <w:pPr>
        <w:keepNext w:val="0"/>
        <w:keepLines w:val="0"/>
        <w:pageBreakBefore w:val="0"/>
        <w:widowControl w:val="0"/>
        <w:kinsoku/>
        <w:wordWrap/>
        <w:overflowPunct/>
        <w:topLinePunct w:val="0"/>
        <w:bidi w:val="0"/>
        <w:snapToGrid/>
        <w:spacing w:line="360" w:lineRule="auto"/>
        <w:jc w:val="center"/>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b/>
          <w:bCs/>
          <w:color w:val="000000" w:themeColor="text1"/>
          <w:sz w:val="32"/>
          <w:szCs w:val="32"/>
          <w:highlight w:val="none"/>
          <w14:textFill>
            <w14:solidFill>
              <w14:schemeClr w14:val="tx1"/>
            </w14:solidFill>
          </w14:textFill>
        </w:rPr>
        <w:t>第一部分：</w:t>
      </w:r>
      <w:r>
        <w:rPr>
          <w:rFonts w:ascii="黑体" w:hAnsi="黑体" w:eastAsia="黑体" w:cs="黑体"/>
          <w:b/>
          <w:color w:val="000000"/>
          <w:sz w:val="32"/>
          <w:u w:color="auto"/>
        </w:rPr>
        <w:t>南宁市第二中学</w:t>
      </w:r>
      <w:r>
        <w:rPr>
          <w:rFonts w:hint="eastAsia" w:ascii="黑体" w:hAnsi="黑体" w:eastAsia="黑体" w:cs="黑体"/>
          <w:b/>
          <w:bCs/>
          <w:color w:val="000000" w:themeColor="text1"/>
          <w:sz w:val="32"/>
          <w:szCs w:val="32"/>
          <w:highlight w:val="none"/>
          <w14:textFill>
            <w14:solidFill>
              <w14:schemeClr w14:val="tx1"/>
            </w14:solidFill>
          </w14:textFill>
        </w:rPr>
        <w:t>概况</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一、主要职能</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南宁市第二中学，是中国百强中学、自治区首批重点中学、自治区首批示范性普通高中。前身为创办于1906年的南宁府中学堂，曾先后更名为广西省立第一中学、南宁中学、南宁高中等。1954年改现名，直属于南宁市教育局。有初中部和高中部两个校区，分别开展初中及高中教育。学校实行校长负责制，下设校办、教务处、政教处、科研处、总务处五个处室，其中校办是学校行政的综合办事机构，主要职能是围绕学校中心工作，负责综合协调、信息枢纽、督促检查工作；教务处是学校教学的直接管理部门，负责计划、组织、实施、管理教学工作全过程；政教处负责学生日常教育管理和学校德育工作及安稳工作；科研处负责教育科研及信息化管理工作；总务处是在校长领导下负责校园校舍、物资财产、生活福利等总务行政管理的职能处室。</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二、部门决算单位构成</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南宁市第二中学属独立机构，是南宁市教育局直属二层单位。</w:t>
      </w:r>
    </w:p>
    <w:p>
      <w:pP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center"/>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第二部分：</w:t>
      </w:r>
      <w:r>
        <w:rPr>
          <w:rFonts w:ascii="黑体" w:hAnsi="黑体" w:eastAsia="黑体" w:cs="黑体"/>
          <w:color w:val="000000"/>
          <w:sz w:val="32"/>
          <w:u w:color="auto"/>
        </w:rPr>
        <w:t>南宁市第二中学</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度部门决算报表</w:t>
      </w:r>
    </w:p>
    <w:tbl>
      <w:tblPr>
        <w:tblStyle w:val="6"/>
        <w:tblW w:w="13940" w:type="dxa"/>
        <w:tblInd w:w="96" w:type="dxa"/>
        <w:tblLayout w:type="fixed"/>
        <w:tblCellMar>
          <w:top w:w="0" w:type="dxa"/>
          <w:left w:w="108" w:type="dxa"/>
          <w:bottom w:w="0" w:type="dxa"/>
          <w:right w:w="108" w:type="dxa"/>
        </w:tblCellMar>
      </w:tblPr>
      <w:tblGrid>
        <w:gridCol w:w="2543"/>
        <w:gridCol w:w="2393"/>
        <w:gridCol w:w="2231"/>
        <w:gridCol w:w="2669"/>
        <w:gridCol w:w="2202"/>
        <w:gridCol w:w="1902"/>
      </w:tblGrid>
      <w:tr>
        <w:tblPrEx>
          <w:tblCellMar>
            <w:top w:w="0" w:type="dxa"/>
            <w:left w:w="108" w:type="dxa"/>
            <w:bottom w:w="0" w:type="dxa"/>
            <w:right w:w="108" w:type="dxa"/>
          </w:tblCellMar>
        </w:tblPrEx>
        <w:trPr>
          <w:trHeight w:val="902" w:hRule="atLeast"/>
        </w:trPr>
        <w:tc>
          <w:tcPr>
            <w:tcW w:w="13940" w:type="dxa"/>
            <w:gridSpan w:val="6"/>
            <w:tcBorders>
              <w:top w:val="nil"/>
              <w:left w:val="nil"/>
              <w:bottom w:val="nil"/>
              <w:right w:val="nil"/>
            </w:tcBorders>
            <w:shd w:val="clear" w:color="auto" w:fill="auto"/>
            <w:noWrap/>
            <w:vAlign w:val="bottom"/>
          </w:tcPr>
          <w:p>
            <w:pPr>
              <w:jc w:val="left"/>
              <w:rPr>
                <w:rFonts w:ascii="仿宋" w:hAnsi="仿宋" w:eastAsia="仿宋" w:cs="仿宋"/>
                <w:sz w:val="24"/>
                <w:highlight w:val="none"/>
              </w:rPr>
            </w:pPr>
            <w:r>
              <w:rPr>
                <w:rFonts w:hint="eastAsia" w:ascii="仿宋" w:hAnsi="仿宋" w:eastAsia="仿宋" w:cs="仿宋"/>
                <w:sz w:val="24"/>
                <w:highlight w:val="none"/>
              </w:rPr>
              <w:t>表一：收入支出决算总表</w:t>
            </w:r>
          </w:p>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收入支出决算总表</w:t>
            </w:r>
          </w:p>
        </w:tc>
      </w:tr>
      <w:tr>
        <w:tblPrEx>
          <w:tblCellMar>
            <w:top w:w="0" w:type="dxa"/>
            <w:left w:w="108" w:type="dxa"/>
            <w:bottom w:w="0" w:type="dxa"/>
            <w:right w:w="108" w:type="dxa"/>
          </w:tblCellMar>
        </w:tblPrEx>
        <w:trPr>
          <w:trHeight w:val="301" w:hRule="atLeast"/>
        </w:trPr>
        <w:tc>
          <w:tcPr>
            <w:tcW w:w="254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9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231"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669"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202"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902"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公开01表</w:t>
            </w:r>
          </w:p>
        </w:tc>
      </w:tr>
      <w:tr>
        <w:tblPrEx>
          <w:tblCellMar>
            <w:top w:w="0" w:type="dxa"/>
            <w:left w:w="108" w:type="dxa"/>
            <w:bottom w:w="0" w:type="dxa"/>
            <w:right w:w="108" w:type="dxa"/>
          </w:tblCellMar>
        </w:tblPrEx>
        <w:trPr>
          <w:trHeight w:val="301" w:hRule="atLeast"/>
        </w:trPr>
        <w:tc>
          <w:tcPr>
            <w:tcW w:w="7167" w:type="dxa"/>
            <w:gridSpan w:val="3"/>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2669"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2202"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1902" w:type="dxa"/>
            <w:tcBorders>
              <w:top w:val="nil"/>
              <w:left w:val="nil"/>
              <w:bottom w:val="single" w:color="auto" w:sz="4" w:space="0"/>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315" w:hRule="atLeast"/>
        </w:trPr>
        <w:tc>
          <w:tcPr>
            <w:tcW w:w="716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收入</w:t>
            </w:r>
          </w:p>
        </w:tc>
        <w:tc>
          <w:tcPr>
            <w:tcW w:w="677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支出</w:t>
            </w:r>
          </w:p>
        </w:tc>
      </w:tr>
      <w:tr>
        <w:tblPrEx>
          <w:tblCellMar>
            <w:top w:w="0" w:type="dxa"/>
            <w:left w:w="108" w:type="dxa"/>
            <w:bottom w:w="0" w:type="dxa"/>
            <w:right w:w="108" w:type="dxa"/>
          </w:tblCellMar>
        </w:tblPrEx>
        <w:trPr>
          <w:trHeight w:val="315"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行次</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金额</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行次</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金额</w:t>
            </w:r>
          </w:p>
        </w:tc>
      </w:tr>
      <w:tr>
        <w:tblPrEx>
          <w:tblCellMar>
            <w:top w:w="0" w:type="dxa"/>
            <w:left w:w="108" w:type="dxa"/>
            <w:bottom w:w="0" w:type="dxa"/>
            <w:right w:w="108" w:type="dxa"/>
          </w:tblCellMar>
        </w:tblPrEx>
        <w:trPr>
          <w:trHeight w:val="315"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一、一般公共预算财政拨款收入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15426.35</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一、一般公共服务支出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32</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二、政府性基金预算财政拨款收入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二、外交支出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33</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三、国有资本经营预算财政拨款收入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三、国防支出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34</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四、上级补助收入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4</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四、公共安全支出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35</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五、事业收入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5</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2058.15</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五、教育支出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36</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14231.61</w:t>
            </w: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六、经营收入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6</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六、科学技术支出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37</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七、附属单位上缴收入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7</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七、文化旅游体育与传媒支出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38</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八、其他收入</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8</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403.35</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八、社会保障和就业支出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39</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1821.35</w:t>
            </w: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9</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九、卫生健康支出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40</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993.59</w:t>
            </w: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10</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十、节能环保支出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41</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11</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十一、城乡社区支出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42</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12</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十二、农林水支出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43</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13</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十三、交通运输支出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44</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14</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十四、资源勘探工业信息等支出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45</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15</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十五、商业服务业等支出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46</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16</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十六、金融支出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47</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17</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十七、援助其他地区支出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48</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18</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十八、自然资源海洋气象等支出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49</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19</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十九、住房保障支出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50</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794.56</w:t>
            </w: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20</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二十、粮油物资储备支出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51</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21</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二十一、国有资本经营预算支出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52</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22</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二十二、灾害防治及应急管理支出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53</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23</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二十三、其他支出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54</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24</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二十四、债务还本支出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55</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25</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二十五、债务付息支出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56</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26</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二十六、抗疫特别国债安排的支出</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57</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本年收入合计</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27</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17887.85</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本年支出合计</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58</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17841.12</w:t>
            </w: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使用非财政拨款结余（含专用结余）</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28</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结余分配</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59</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年初结转和结余</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29</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2.11</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年末结转和结余</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60</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48.85</w:t>
            </w: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30</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61</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334" w:hRule="atLeast"/>
        </w:trPr>
        <w:tc>
          <w:tcPr>
            <w:tcW w:w="25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highlight w:val="none"/>
              </w:rPr>
            </w:pPr>
            <w:r>
              <w:rPr>
                <w:rFonts w:hint="eastAsia"/>
                <w:highlight w:val="none"/>
              </w:rPr>
              <w:t>总计</w:t>
            </w:r>
          </w:p>
        </w:tc>
        <w:tc>
          <w:tcPr>
            <w:tcW w:w="23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31</w:t>
            </w:r>
          </w:p>
        </w:tc>
        <w:tc>
          <w:tcPr>
            <w:tcW w:w="2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17889.97</w:t>
            </w:r>
          </w:p>
        </w:tc>
        <w:tc>
          <w:tcPr>
            <w:tcW w:w="26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总计</w:t>
            </w:r>
          </w:p>
        </w:tc>
        <w:tc>
          <w:tcPr>
            <w:tcW w:w="22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62</w:t>
            </w:r>
          </w:p>
        </w:tc>
        <w:tc>
          <w:tcPr>
            <w:tcW w:w="19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17889.97</w:t>
            </w:r>
          </w:p>
        </w:tc>
      </w:tr>
    </w:tbl>
    <w:p>
      <w:pPr>
        <w:rPr>
          <w:rFonts w:ascii="宋体" w:hAnsi="宋体" w:eastAsia="宋体" w:cs="宋体"/>
          <w:color w:val="000000"/>
          <w:kern w:val="0"/>
          <w:sz w:val="30"/>
          <w:szCs w:val="30"/>
          <w:highlight w:val="none"/>
        </w:rPr>
      </w:pPr>
      <w:r>
        <w:br w:type="page"/>
      </w:r>
    </w:p>
    <w:tbl>
      <w:tblPr>
        <w:tblStyle w:val="6"/>
        <w:tblW w:w="13960" w:type="dxa"/>
        <w:tblInd w:w="96" w:type="dxa"/>
        <w:tblLayout w:type="fixed"/>
        <w:tblCellMar>
          <w:top w:w="0" w:type="dxa"/>
          <w:left w:w="108" w:type="dxa"/>
          <w:bottom w:w="0" w:type="dxa"/>
          <w:right w:w="108" w:type="dxa"/>
        </w:tblCellMar>
      </w:tblPr>
      <w:tblGrid>
        <w:gridCol w:w="1584"/>
        <w:gridCol w:w="1378"/>
        <w:gridCol w:w="236"/>
        <w:gridCol w:w="236"/>
        <w:gridCol w:w="524"/>
        <w:gridCol w:w="1520"/>
        <w:gridCol w:w="1453"/>
        <w:gridCol w:w="1373"/>
        <w:gridCol w:w="1467"/>
        <w:gridCol w:w="1480"/>
        <w:gridCol w:w="1440"/>
        <w:gridCol w:w="1269"/>
      </w:tblGrid>
      <w:tr>
        <w:tblPrEx>
          <w:tblCellMar>
            <w:top w:w="0" w:type="dxa"/>
            <w:left w:w="108" w:type="dxa"/>
            <w:bottom w:w="0" w:type="dxa"/>
            <w:right w:w="108" w:type="dxa"/>
          </w:tblCellMar>
        </w:tblPrEx>
        <w:trPr>
          <w:trHeight w:val="951" w:hRule="atLeast"/>
        </w:trPr>
        <w:tc>
          <w:tcPr>
            <w:tcW w:w="13960" w:type="dxa"/>
            <w:gridSpan w:val="12"/>
            <w:tcBorders>
              <w:top w:val="nil"/>
              <w:left w:val="nil"/>
              <w:bottom w:val="nil"/>
              <w:right w:val="nil"/>
            </w:tcBorders>
            <w:shd w:val="clear" w:color="auto" w:fill="auto"/>
            <w:noWrap/>
            <w:vAlign w:val="bottom"/>
          </w:tcPr>
          <w:p>
            <w:pPr>
              <w:jc w:val="left"/>
              <w:rPr>
                <w:rFonts w:ascii="仿宋" w:hAnsi="仿宋" w:eastAsia="仿宋" w:cs="仿宋"/>
                <w:sz w:val="24"/>
                <w:highlight w:val="none"/>
              </w:rPr>
            </w:pPr>
            <w:r>
              <w:rPr>
                <w:rFonts w:hint="eastAsia" w:ascii="仿宋" w:hAnsi="仿宋" w:eastAsia="仿宋" w:cs="仿宋"/>
                <w:sz w:val="24"/>
                <w:highlight w:val="none"/>
              </w:rPr>
              <w:t>表二：收入决算表</w:t>
            </w:r>
          </w:p>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收入决算表</w:t>
            </w:r>
          </w:p>
        </w:tc>
      </w:tr>
      <w:tr>
        <w:tblPrEx>
          <w:tblCellMar>
            <w:top w:w="0" w:type="dxa"/>
            <w:left w:w="108" w:type="dxa"/>
            <w:bottom w:w="0" w:type="dxa"/>
            <w:right w:w="108" w:type="dxa"/>
          </w:tblCellMar>
        </w:tblPrEx>
        <w:trPr>
          <w:trHeight w:val="317" w:hRule="atLeast"/>
        </w:trPr>
        <w:tc>
          <w:tcPr>
            <w:tcW w:w="2962" w:type="dxa"/>
            <w:gridSpan w:val="2"/>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6"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6"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524"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52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45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37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467"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48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709"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公开02表</w:t>
            </w:r>
          </w:p>
        </w:tc>
      </w:tr>
      <w:tr>
        <w:tblPrEx>
          <w:tblCellMar>
            <w:top w:w="0" w:type="dxa"/>
            <w:left w:w="108" w:type="dxa"/>
            <w:bottom w:w="0" w:type="dxa"/>
            <w:right w:w="108" w:type="dxa"/>
          </w:tblCellMar>
        </w:tblPrEx>
        <w:trPr>
          <w:trHeight w:val="317" w:hRule="atLeast"/>
        </w:trPr>
        <w:tc>
          <w:tcPr>
            <w:tcW w:w="6931" w:type="dxa"/>
            <w:gridSpan w:val="7"/>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1373"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1467"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1480"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2709" w:type="dxa"/>
            <w:gridSpan w:val="2"/>
            <w:tcBorders>
              <w:top w:val="nil"/>
              <w:left w:val="nil"/>
              <w:bottom w:val="single" w:color="auto" w:sz="4" w:space="0"/>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327" w:hRule="atLeast"/>
        </w:trPr>
        <w:tc>
          <w:tcPr>
            <w:tcW w:w="395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rPr>
              <w:t>本年收入合计</w:t>
            </w:r>
          </w:p>
        </w:tc>
        <w:tc>
          <w:tcPr>
            <w:tcW w:w="14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rPr>
              <w:t>财政拨款收入</w:t>
            </w:r>
          </w:p>
        </w:tc>
        <w:tc>
          <w:tcPr>
            <w:tcW w:w="13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rPr>
              <w:t>上级补助收入</w:t>
            </w: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rPr>
              <w:t>事业收入</w:t>
            </w:r>
          </w:p>
        </w:tc>
        <w:tc>
          <w:tcPr>
            <w:tcW w:w="14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rPr>
              <w:t>经营收入</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rPr>
              <w:t>附属单位上缴收入</w:t>
            </w:r>
          </w:p>
        </w:tc>
        <w:tc>
          <w:tcPr>
            <w:tcW w:w="12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Cs w:val="21"/>
                <w:highlight w:val="none"/>
              </w:rPr>
            </w:pPr>
            <w:r>
              <w:rPr>
                <w:rFonts w:hint="eastAsia" w:ascii="宋体" w:hAnsi="宋体" w:eastAsia="宋体" w:cs="宋体"/>
                <w:color w:val="000000"/>
                <w:kern w:val="0"/>
                <w:szCs w:val="21"/>
                <w:highlight w:val="none"/>
              </w:rPr>
              <w:t>其他收入</w:t>
            </w:r>
          </w:p>
        </w:tc>
      </w:tr>
      <w:tr>
        <w:tblPrEx>
          <w:tblCellMar>
            <w:top w:w="0" w:type="dxa"/>
            <w:left w:w="108" w:type="dxa"/>
            <w:bottom w:w="0" w:type="dxa"/>
            <w:right w:w="108" w:type="dxa"/>
          </w:tblCellMar>
        </w:tblPrEx>
        <w:trPr>
          <w:trHeight w:val="327" w:hRule="atLeast"/>
        </w:trPr>
        <w:tc>
          <w:tcPr>
            <w:tcW w:w="15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功能分类科目编码</w:t>
            </w:r>
          </w:p>
        </w:tc>
        <w:tc>
          <w:tcPr>
            <w:tcW w:w="2374"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15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3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2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27" w:hRule="atLeast"/>
        </w:trPr>
        <w:tc>
          <w:tcPr>
            <w:tcW w:w="15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374" w:type="dxa"/>
            <w:gridSpan w:val="4"/>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15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3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2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27" w:hRule="atLeast"/>
        </w:trPr>
        <w:tc>
          <w:tcPr>
            <w:tcW w:w="15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374" w:type="dxa"/>
            <w:gridSpan w:val="4"/>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15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3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2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27" w:hRule="atLeast"/>
        </w:trPr>
        <w:tc>
          <w:tcPr>
            <w:tcW w:w="395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1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14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13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3</w:t>
            </w:r>
          </w:p>
        </w:tc>
        <w:tc>
          <w:tcPr>
            <w:tcW w:w="14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4</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5</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6</w:t>
            </w:r>
          </w:p>
        </w:tc>
        <w:tc>
          <w:tcPr>
            <w:tcW w:w="12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7</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合计</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合计</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17887.85</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15426.35</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2058.15</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403.35</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2050203</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初中教育</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535.93</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240.47</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295.46</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2050204</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高中教育</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13742.42</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11576.38</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2058.15</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107.89</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2080502</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事业单位离退休</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265.69</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265.69</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2080505</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机关事业单位基本养老保险缴费支出</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982.22</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982.22</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2080506</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机关事业单位职业年金缴费支出</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526.61</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526.61</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2080801</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死亡抚恤</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46.83</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46.83</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2101102</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事业单位医疗</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407.33</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407.33</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2101103</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公务员医疗补助</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579.07</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579.07</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2101199</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其他行政事业单位医疗支出</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7.18</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7.18</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2210201</w:t>
            </w:r>
          </w:p>
        </w:tc>
        <w:tc>
          <w:tcPr>
            <w:tcW w:w="237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住房公积金</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794.56</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794.56</w:t>
            </w:r>
          </w:p>
        </w:tc>
        <w:tc>
          <w:tcPr>
            <w:tcW w:w="13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7" w:hRule="atLeast"/>
        </w:trPr>
        <w:tc>
          <w:tcPr>
            <w:tcW w:w="13960" w:type="dxa"/>
            <w:gridSpan w:val="12"/>
            <w:tcBorders>
              <w:top w:val="single" w:color="auto" w:sz="4" w:space="0"/>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注：本表反映部门本年度取得的各项收入情况。</w:t>
            </w:r>
          </w:p>
        </w:tc>
      </w:tr>
    </w:tbl>
    <w:p>
      <w:pPr>
        <w:jc w:val="center"/>
        <w:rPr>
          <w:rFonts w:ascii="仿宋" w:hAnsi="仿宋" w:eastAsia="仿宋" w:cs="仿宋"/>
          <w:sz w:val="24"/>
          <w:highlight w:val="none"/>
        </w:rPr>
      </w:pPr>
    </w:p>
    <w:p>
      <w:pPr>
        <w:rPr>
          <w:rFonts w:ascii="仿宋" w:hAnsi="仿宋" w:eastAsia="仿宋" w:cs="仿宋"/>
          <w:sz w:val="24"/>
          <w:highlight w:val="none"/>
        </w:rPr>
      </w:pPr>
      <w:r>
        <w:br w:type="page"/>
      </w:r>
    </w:p>
    <w:p>
      <w:pPr>
        <w:jc w:val="center"/>
        <w:rPr>
          <w:rFonts w:ascii="仿宋" w:hAnsi="仿宋" w:eastAsia="仿宋" w:cs="仿宋"/>
          <w:sz w:val="24"/>
          <w:highlight w:val="none"/>
        </w:rPr>
      </w:pPr>
    </w:p>
    <w:p>
      <w:pPr>
        <w:jc w:val="left"/>
        <w:rPr>
          <w:rFonts w:ascii="仿宋" w:hAnsi="仿宋" w:eastAsia="仿宋" w:cs="仿宋"/>
          <w:sz w:val="24"/>
          <w:highlight w:val="none"/>
        </w:rPr>
      </w:pPr>
      <w:r>
        <w:rPr>
          <w:rFonts w:hint="eastAsia" w:ascii="仿宋" w:hAnsi="仿宋" w:eastAsia="仿宋" w:cs="仿宋"/>
          <w:sz w:val="24"/>
          <w:highlight w:val="none"/>
        </w:rPr>
        <w:t>表三：支出决算表</w:t>
      </w:r>
    </w:p>
    <w:tbl>
      <w:tblPr>
        <w:tblStyle w:val="6"/>
        <w:tblW w:w="13980" w:type="dxa"/>
        <w:tblInd w:w="96" w:type="dxa"/>
        <w:tblLayout w:type="fixed"/>
        <w:tblCellMar>
          <w:top w:w="0" w:type="dxa"/>
          <w:left w:w="108" w:type="dxa"/>
          <w:bottom w:w="0" w:type="dxa"/>
          <w:right w:w="108" w:type="dxa"/>
        </w:tblCellMar>
      </w:tblPr>
      <w:tblGrid>
        <w:gridCol w:w="1142"/>
        <w:gridCol w:w="237"/>
        <w:gridCol w:w="239"/>
        <w:gridCol w:w="64"/>
        <w:gridCol w:w="2222"/>
        <w:gridCol w:w="1627"/>
        <w:gridCol w:w="1680"/>
        <w:gridCol w:w="1760"/>
        <w:gridCol w:w="1653"/>
        <w:gridCol w:w="1654"/>
        <w:gridCol w:w="1702"/>
      </w:tblGrid>
      <w:tr>
        <w:tblPrEx>
          <w:tblCellMar>
            <w:top w:w="0" w:type="dxa"/>
            <w:left w:w="108" w:type="dxa"/>
            <w:bottom w:w="0" w:type="dxa"/>
            <w:right w:w="108" w:type="dxa"/>
          </w:tblCellMar>
        </w:tblPrEx>
        <w:trPr>
          <w:trHeight w:val="623" w:hRule="atLeast"/>
        </w:trPr>
        <w:tc>
          <w:tcPr>
            <w:tcW w:w="13980" w:type="dxa"/>
            <w:gridSpan w:val="11"/>
            <w:tcBorders>
              <w:top w:val="nil"/>
              <w:left w:val="nil"/>
              <w:bottom w:val="nil"/>
              <w:right w:val="nil"/>
            </w:tcBorders>
            <w:shd w:val="clear" w:color="auto" w:fill="auto"/>
            <w:noWrap/>
            <w:vAlign w:val="center"/>
          </w:tcPr>
          <w:p>
            <w:pPr>
              <w:widowControl/>
              <w:jc w:val="center"/>
              <w:textAlignment w:val="center"/>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支出决算表</w:t>
            </w:r>
          </w:p>
        </w:tc>
      </w:tr>
      <w:tr>
        <w:tblPrEx>
          <w:tblCellMar>
            <w:top w:w="0" w:type="dxa"/>
            <w:left w:w="108" w:type="dxa"/>
            <w:bottom w:w="0" w:type="dxa"/>
            <w:right w:w="108" w:type="dxa"/>
          </w:tblCellMar>
        </w:tblPrEx>
        <w:trPr>
          <w:trHeight w:val="312" w:hRule="atLeast"/>
        </w:trPr>
        <w:tc>
          <w:tcPr>
            <w:tcW w:w="1142"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237"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303" w:type="dxa"/>
            <w:gridSpan w:val="2"/>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2222"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1627"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1680"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1760"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1653"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1654" w:type="dxa"/>
            <w:tcBorders>
              <w:top w:val="nil"/>
              <w:left w:val="nil"/>
              <w:bottom w:val="nil"/>
              <w:right w:val="nil"/>
            </w:tcBorders>
            <w:shd w:val="clear" w:color="auto" w:fill="auto"/>
            <w:noWrap/>
            <w:vAlign w:val="center"/>
          </w:tcPr>
          <w:p>
            <w:pPr>
              <w:rPr>
                <w:rFonts w:ascii="Arial" w:hAnsi="Arial" w:cs="Arial"/>
                <w:color w:val="000000"/>
                <w:sz w:val="20"/>
                <w:szCs w:val="20"/>
                <w:highlight w:val="none"/>
              </w:rPr>
            </w:pPr>
          </w:p>
        </w:tc>
        <w:tc>
          <w:tcPr>
            <w:tcW w:w="1702" w:type="dxa"/>
            <w:tcBorders>
              <w:top w:val="nil"/>
              <w:left w:val="nil"/>
              <w:bottom w:val="nil"/>
              <w:right w:val="nil"/>
            </w:tcBorders>
            <w:shd w:val="clear" w:color="auto" w:fill="auto"/>
            <w:noWrap/>
            <w:vAlign w:val="center"/>
          </w:tcPr>
          <w:p>
            <w:pPr>
              <w:widowControl/>
              <w:jc w:val="righ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公开03表</w:t>
            </w:r>
          </w:p>
        </w:tc>
      </w:tr>
      <w:tr>
        <w:tblPrEx>
          <w:tblCellMar>
            <w:top w:w="0" w:type="dxa"/>
            <w:left w:w="108" w:type="dxa"/>
            <w:bottom w:w="0" w:type="dxa"/>
            <w:right w:w="108" w:type="dxa"/>
          </w:tblCellMar>
        </w:tblPrEx>
        <w:trPr>
          <w:trHeight w:val="312" w:hRule="atLeast"/>
        </w:trPr>
        <w:tc>
          <w:tcPr>
            <w:tcW w:w="8971" w:type="dxa"/>
            <w:gridSpan w:val="8"/>
            <w:tcBorders>
              <w:top w:val="nil"/>
              <w:left w:val="nil"/>
              <w:bottom w:val="single" w:color="auto" w:sz="4" w:space="0"/>
              <w:right w:val="nil"/>
            </w:tcBorders>
            <w:shd w:val="clear" w:color="auto" w:fill="auto"/>
            <w:noWrap/>
            <w:vAlign w:val="center"/>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1653" w:type="dxa"/>
            <w:tcBorders>
              <w:top w:val="nil"/>
              <w:left w:val="nil"/>
              <w:bottom w:val="single" w:color="auto" w:sz="4" w:space="0"/>
              <w:right w:val="nil"/>
            </w:tcBorders>
            <w:shd w:val="clear" w:color="auto" w:fill="auto"/>
            <w:noWrap/>
            <w:vAlign w:val="center"/>
          </w:tcPr>
          <w:p>
            <w:pPr>
              <w:rPr>
                <w:rFonts w:ascii="Arial" w:hAnsi="Arial" w:cs="Arial"/>
                <w:color w:val="000000"/>
                <w:sz w:val="20"/>
                <w:szCs w:val="20"/>
                <w:highlight w:val="none"/>
              </w:rPr>
            </w:pPr>
          </w:p>
        </w:tc>
        <w:tc>
          <w:tcPr>
            <w:tcW w:w="1654" w:type="dxa"/>
            <w:tcBorders>
              <w:top w:val="nil"/>
              <w:left w:val="nil"/>
              <w:bottom w:val="single" w:color="auto" w:sz="4" w:space="0"/>
              <w:right w:val="nil"/>
            </w:tcBorders>
            <w:shd w:val="clear" w:color="auto" w:fill="auto"/>
            <w:noWrap/>
            <w:vAlign w:val="center"/>
          </w:tcPr>
          <w:p>
            <w:pPr>
              <w:rPr>
                <w:rFonts w:ascii="Arial" w:hAnsi="Arial" w:cs="Arial"/>
                <w:color w:val="000000"/>
                <w:sz w:val="20"/>
                <w:szCs w:val="20"/>
                <w:highlight w:val="none"/>
              </w:rPr>
            </w:pPr>
          </w:p>
        </w:tc>
        <w:tc>
          <w:tcPr>
            <w:tcW w:w="1702" w:type="dxa"/>
            <w:tcBorders>
              <w:top w:val="nil"/>
              <w:left w:val="nil"/>
              <w:bottom w:val="single" w:color="auto" w:sz="4" w:space="0"/>
              <w:right w:val="nil"/>
            </w:tcBorders>
            <w:shd w:val="clear" w:color="auto" w:fill="auto"/>
            <w:noWrap/>
            <w:vAlign w:val="center"/>
          </w:tcPr>
          <w:p>
            <w:pPr>
              <w:widowControl/>
              <w:jc w:val="right"/>
              <w:textAlignment w:val="center"/>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322" w:hRule="atLeast"/>
        </w:trPr>
        <w:tc>
          <w:tcPr>
            <w:tcW w:w="39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16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本年支出合计</w:t>
            </w:r>
          </w:p>
        </w:tc>
        <w:tc>
          <w:tcPr>
            <w:tcW w:w="16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基本支出</w:t>
            </w:r>
          </w:p>
        </w:tc>
        <w:tc>
          <w:tcPr>
            <w:tcW w:w="17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项目支出</w:t>
            </w:r>
          </w:p>
        </w:tc>
        <w:tc>
          <w:tcPr>
            <w:tcW w:w="16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上缴上级支出</w:t>
            </w:r>
          </w:p>
        </w:tc>
        <w:tc>
          <w:tcPr>
            <w:tcW w:w="16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经营支出</w:t>
            </w:r>
          </w:p>
        </w:tc>
        <w:tc>
          <w:tcPr>
            <w:tcW w:w="170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对附属单位补助支出</w:t>
            </w:r>
          </w:p>
        </w:tc>
      </w:tr>
      <w:tr>
        <w:tblPrEx>
          <w:tblCellMar>
            <w:top w:w="0" w:type="dxa"/>
            <w:left w:w="108" w:type="dxa"/>
            <w:bottom w:w="0" w:type="dxa"/>
            <w:right w:w="108" w:type="dxa"/>
          </w:tblCellMar>
        </w:tblPrEx>
        <w:trPr>
          <w:trHeight w:val="322" w:hRule="atLeast"/>
        </w:trPr>
        <w:tc>
          <w:tcPr>
            <w:tcW w:w="1618"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功能分类科目编码</w:t>
            </w:r>
          </w:p>
        </w:tc>
        <w:tc>
          <w:tcPr>
            <w:tcW w:w="2286"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16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465" w:hRule="atLeast"/>
        </w:trPr>
        <w:tc>
          <w:tcPr>
            <w:tcW w:w="1618"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286"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16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837" w:hRule="atLeast"/>
        </w:trPr>
        <w:tc>
          <w:tcPr>
            <w:tcW w:w="1618" w:type="dxa"/>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286"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16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0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22" w:hRule="atLeast"/>
        </w:trPr>
        <w:tc>
          <w:tcPr>
            <w:tcW w:w="39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16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16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17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3</w:t>
            </w:r>
          </w:p>
        </w:tc>
        <w:tc>
          <w:tcPr>
            <w:tcW w:w="16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4</w:t>
            </w:r>
          </w:p>
        </w:tc>
        <w:tc>
          <w:tcPr>
            <w:tcW w:w="1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5</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6</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合计</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17841.12</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14264.71</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3576.4</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教育支出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14231.61</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10821.0</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3410.61</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20502</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普通教育</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14231.61</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10821.0</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3410.61</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2050203</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初中教育</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535.19</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535.19</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2050204</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高中教育</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13696.43</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10821.0</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2875.42</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社会保障和就业支出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1821.35</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1706.94</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114.42</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20805</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行政事业单位养老支出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1774.52</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1706.94</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67.58</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2080502</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事业单位离退休</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265.69</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257.25</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8.43</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2080505</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机关事业单位基本养老保险缴费支出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982.22</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942.79</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39.43</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2080506</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机关事业单位职业年金缴费支出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526.61</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506.89</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19.72</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20808</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抚恤</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46.83</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46.83</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2080801</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死亡抚恤</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46.83</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46.83</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卫生健康支出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993.59</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971.78</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21.8</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21011</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行政事业单位医疗</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993.59</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971.78</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21.8</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2101102</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事业单位医疗</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407.33</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386.01</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21.32</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2101103</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公务员医疗补助</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579.07</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579.07</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2101199</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其他行政事业单位医疗支出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7.18</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6.7</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0.49</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221</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住房保障支出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794.56</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764.99</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29.58</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22102</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住房改革支出</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794.56</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764.99</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29.58</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61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2210201</w:t>
            </w:r>
          </w:p>
        </w:tc>
        <w:tc>
          <w:tcPr>
            <w:tcW w:w="228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住房公积金</w:t>
            </w:r>
          </w:p>
        </w:tc>
        <w:tc>
          <w:tcPr>
            <w:tcW w:w="16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794.56</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764.99</w:t>
            </w:r>
          </w:p>
        </w:tc>
        <w:tc>
          <w:tcPr>
            <w:tcW w:w="17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29.58</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16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17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22" w:hRule="atLeast"/>
        </w:trPr>
        <w:tc>
          <w:tcPr>
            <w:tcW w:w="13980" w:type="dxa"/>
            <w:gridSpan w:val="11"/>
            <w:tcBorders>
              <w:top w:val="single" w:color="auto" w:sz="4" w:space="0"/>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注：本表反映部门本年度各项支出情况。</w:t>
            </w:r>
          </w:p>
        </w:tc>
      </w:tr>
    </w:tbl>
    <w:p>
      <w:pPr>
        <w:rPr>
          <w:rFonts w:ascii="仿宋" w:hAnsi="仿宋" w:eastAsia="仿宋" w:cs="仿宋"/>
          <w:sz w:val="24"/>
          <w:highlight w:val="none"/>
        </w:rPr>
      </w:pPr>
      <w:r>
        <w:br w:type="page"/>
      </w:r>
    </w:p>
    <w:p>
      <w:pPr>
        <w:jc w:val="center"/>
        <w:rPr>
          <w:rFonts w:ascii="仿宋" w:hAnsi="仿宋" w:eastAsia="仿宋" w:cs="仿宋"/>
          <w:sz w:val="24"/>
          <w:highlight w:val="none"/>
        </w:rPr>
      </w:pPr>
    </w:p>
    <w:p>
      <w:pPr>
        <w:jc w:val="left"/>
        <w:rPr>
          <w:rFonts w:ascii="仿宋" w:hAnsi="仿宋" w:eastAsia="仿宋" w:cs="仿宋"/>
          <w:sz w:val="24"/>
          <w:highlight w:val="none"/>
        </w:rPr>
      </w:pPr>
      <w:r>
        <w:rPr>
          <w:rFonts w:hint="eastAsia" w:ascii="仿宋" w:hAnsi="仿宋" w:eastAsia="仿宋" w:cs="仿宋"/>
          <w:sz w:val="24"/>
          <w:highlight w:val="none"/>
        </w:rPr>
        <w:t>表四：财政拨款收入支出决算总表</w:t>
      </w:r>
    </w:p>
    <w:tbl>
      <w:tblPr>
        <w:tblStyle w:val="6"/>
        <w:tblW w:w="4966" w:type="pct"/>
        <w:tblInd w:w="0" w:type="dxa"/>
        <w:tblLayout w:type="fixed"/>
        <w:tblCellMar>
          <w:top w:w="0" w:type="dxa"/>
          <w:left w:w="108" w:type="dxa"/>
          <w:bottom w:w="0" w:type="dxa"/>
          <w:right w:w="108" w:type="dxa"/>
        </w:tblCellMar>
      </w:tblPr>
      <w:tblGrid>
        <w:gridCol w:w="2214"/>
        <w:gridCol w:w="787"/>
        <w:gridCol w:w="1306"/>
        <w:gridCol w:w="2359"/>
        <w:gridCol w:w="850"/>
        <w:gridCol w:w="1089"/>
        <w:gridCol w:w="1771"/>
        <w:gridCol w:w="1808"/>
        <w:gridCol w:w="1894"/>
      </w:tblGrid>
      <w:tr>
        <w:tblPrEx>
          <w:tblCellMar>
            <w:top w:w="0" w:type="dxa"/>
            <w:left w:w="108" w:type="dxa"/>
            <w:bottom w:w="0" w:type="dxa"/>
            <w:right w:w="108" w:type="dxa"/>
          </w:tblCellMar>
        </w:tblPrEx>
        <w:trPr>
          <w:trHeight w:val="520" w:hRule="atLeast"/>
        </w:trPr>
        <w:tc>
          <w:tcPr>
            <w:tcW w:w="5000" w:type="pct"/>
            <w:gridSpan w:val="9"/>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财政拨款收入支出决算总表</w:t>
            </w:r>
          </w:p>
        </w:tc>
      </w:tr>
      <w:tr>
        <w:tblPrEx>
          <w:tblCellMar>
            <w:top w:w="0" w:type="dxa"/>
            <w:left w:w="108" w:type="dxa"/>
            <w:bottom w:w="0" w:type="dxa"/>
            <w:right w:w="108" w:type="dxa"/>
          </w:tblCellMar>
        </w:tblPrEx>
        <w:trPr>
          <w:trHeight w:val="260" w:hRule="atLeast"/>
        </w:trPr>
        <w:tc>
          <w:tcPr>
            <w:tcW w:w="786"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79"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464"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838"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02"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86"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629"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640"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672" w:type="pct"/>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公开04表</w:t>
            </w:r>
          </w:p>
        </w:tc>
      </w:tr>
      <w:tr>
        <w:tblPrEx>
          <w:tblCellMar>
            <w:top w:w="0" w:type="dxa"/>
            <w:left w:w="108" w:type="dxa"/>
            <w:bottom w:w="0" w:type="dxa"/>
            <w:right w:w="108" w:type="dxa"/>
          </w:tblCellMar>
        </w:tblPrEx>
        <w:trPr>
          <w:trHeight w:val="260" w:hRule="atLeast"/>
        </w:trPr>
        <w:tc>
          <w:tcPr>
            <w:tcW w:w="3056" w:type="pct"/>
            <w:gridSpan w:val="6"/>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629" w:type="pct"/>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640" w:type="pct"/>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672" w:type="pct"/>
            <w:tcBorders>
              <w:top w:val="nil"/>
              <w:left w:val="nil"/>
              <w:bottom w:val="single" w:color="auto" w:sz="4" w:space="0"/>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268" w:hRule="atLeast"/>
        </w:trPr>
        <w:tc>
          <w:tcPr>
            <w:tcW w:w="152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收入</w:t>
            </w:r>
          </w:p>
        </w:tc>
        <w:tc>
          <w:tcPr>
            <w:tcW w:w="3470"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支出</w:t>
            </w:r>
          </w:p>
        </w:tc>
      </w:tr>
      <w:tr>
        <w:tblPrEx>
          <w:tblCellMar>
            <w:top w:w="0" w:type="dxa"/>
            <w:left w:w="108" w:type="dxa"/>
            <w:bottom w:w="0" w:type="dxa"/>
            <w:right w:w="108" w:type="dxa"/>
          </w:tblCellMar>
        </w:tblPrEx>
        <w:trPr>
          <w:trHeight w:val="312" w:hRule="atLeast"/>
        </w:trPr>
        <w:tc>
          <w:tcPr>
            <w:tcW w:w="78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27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行次</w:t>
            </w:r>
          </w:p>
        </w:tc>
        <w:tc>
          <w:tcPr>
            <w:tcW w:w="46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金额</w:t>
            </w:r>
          </w:p>
        </w:tc>
        <w:tc>
          <w:tcPr>
            <w:tcW w:w="83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行次</w:t>
            </w:r>
          </w:p>
        </w:tc>
        <w:tc>
          <w:tcPr>
            <w:tcW w:w="38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合计</w:t>
            </w:r>
          </w:p>
        </w:tc>
        <w:tc>
          <w:tcPr>
            <w:tcW w:w="62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一般公共预算财政拨款</w:t>
            </w:r>
          </w:p>
        </w:tc>
        <w:tc>
          <w:tcPr>
            <w:tcW w:w="64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政府性基金预算财政拨款</w:t>
            </w:r>
          </w:p>
        </w:tc>
        <w:tc>
          <w:tcPr>
            <w:tcW w:w="67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国有资本经营预算财政拨款</w:t>
            </w:r>
          </w:p>
        </w:tc>
      </w:tr>
      <w:tr>
        <w:tblPrEx>
          <w:tblCellMar>
            <w:top w:w="0" w:type="dxa"/>
            <w:left w:w="108" w:type="dxa"/>
            <w:bottom w:w="0" w:type="dxa"/>
            <w:right w:w="108" w:type="dxa"/>
          </w:tblCellMar>
        </w:tblPrEx>
        <w:trPr>
          <w:trHeight w:val="515" w:hRule="atLeast"/>
        </w:trPr>
        <w:tc>
          <w:tcPr>
            <w:tcW w:w="78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46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83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86"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62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64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67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3</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4</w:t>
            </w: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5</w:t>
            </w: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一、一般公共预算财政拨款</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15426.35</w:t>
            </w: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一、一般公共服务支出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33</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二、政府性基金预算财政拨款</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二、外交支出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34</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三、国有资本经营预算财政拨款</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3</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三、国防支出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35</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4</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四、公共安全支出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36</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5</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五、教育支出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37</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11816.85</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11816.85</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6</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六、科学技术支出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38</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7</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七、文化旅游体育与传媒支出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39</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8</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八、社会保障和就业支出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40</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1821.35</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1821.35</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9</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九、卫生健康支出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41</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993.59</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993.59</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10</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十、节能环保支出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42</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11</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十一、城乡社区支出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43</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12</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十二、农林水支出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44</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13</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十三、交通运输支出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45</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14</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十四、资源勘探工业信息等支出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46</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15</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十五、商业服务业等支出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47</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16</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十六、金融支出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48</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17</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十七、援助其他地区支出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49</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18</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十八、自然资源海洋气象等支出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50</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19</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十九、住房保障支出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51</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794.56</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794.56</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二十、粮油物资储备支出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52</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21</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二十一、国有资本经营预算支出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53</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22</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二十二、灾害防治及应急管理支出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54</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23</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二十三、其他支出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55</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24</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二十四、债务还本支出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56</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25</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二十五、债务付息支出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57</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26</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二十六、抗疫特别国债安排的支出</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58</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本年收入合计</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27</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15426.35</w:t>
            </w: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本年支出合计</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59</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15426.35</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15426.35</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年初财政拨款结转和结余</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28</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年末财政拨款结转和结余</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60</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一般公共预算财政拨款</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29</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0.0</w:t>
            </w: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61</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政府性基金预算财政拨款</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30</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62</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国有资本经营预算财政拨款</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31</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63</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7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总计</w:t>
            </w: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32</w:t>
            </w:r>
          </w:p>
        </w:tc>
        <w:tc>
          <w:tcPr>
            <w:tcW w:w="46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15426.35</w:t>
            </w:r>
          </w:p>
        </w:tc>
        <w:tc>
          <w:tcPr>
            <w:tcW w:w="83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总计</w:t>
            </w:r>
          </w:p>
        </w:tc>
        <w:tc>
          <w:tcPr>
            <w:tcW w:w="30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64</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ascii="宋体" w:hAnsi="宋体" w:eastAsia="宋体" w:cs="宋体"/>
                <w:color w:val="000000"/>
                <w:kern w:val="0"/>
                <w:sz w:val="22"/>
                <w:szCs w:val="22"/>
                <w:highlight w:val="none"/>
              </w:rPr>
              <w:t>15426.35</w:t>
            </w:r>
          </w:p>
        </w:tc>
        <w:tc>
          <w:tcPr>
            <w:tcW w:w="62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15426.35</w:t>
            </w:r>
          </w:p>
        </w:tc>
        <w:tc>
          <w:tcPr>
            <w:tcW w:w="64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c>
          <w:tcPr>
            <w:tcW w:w="6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p>
        </w:tc>
      </w:tr>
      <w:tr>
        <w:tblPrEx>
          <w:tblCellMar>
            <w:top w:w="0" w:type="dxa"/>
            <w:left w:w="108" w:type="dxa"/>
            <w:bottom w:w="0" w:type="dxa"/>
            <w:right w:w="108" w:type="dxa"/>
          </w:tblCellMar>
        </w:tblPrEx>
        <w:trPr>
          <w:trHeight w:val="268" w:hRule="atLeast"/>
        </w:trPr>
        <w:tc>
          <w:tcPr>
            <w:tcW w:w="4327" w:type="pct"/>
            <w:gridSpan w:val="8"/>
            <w:tcBorders>
              <w:top w:val="single" w:color="auto" w:sz="4" w:space="0"/>
              <w:left w:val="nil"/>
              <w:bottom w:val="nil"/>
              <w:right w:val="nil"/>
            </w:tcBorders>
            <w:shd w:val="clear" w:color="auto" w:fill="auto"/>
            <w:noWrap/>
            <w:vAlign w:val="center"/>
          </w:tcPr>
          <w:p>
            <w:pPr>
              <w:widowControl/>
              <w:jc w:val="lef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注：本表反映部门本年度一般公共预算财政拨款、政府性基金预算财政拨款和国有资本经营预算财政拨款的总收支和年末结转结余情况。</w:t>
            </w:r>
          </w:p>
          <w:p>
            <w:pPr>
              <w:widowControl/>
              <w:jc w:val="left"/>
              <w:textAlignment w:val="center"/>
              <w:rPr>
                <w:rFonts w:ascii="宋体" w:hAnsi="宋体" w:eastAsia="宋体" w:cs="宋体"/>
                <w:color w:val="000000"/>
                <w:kern w:val="0"/>
                <w:sz w:val="22"/>
                <w:szCs w:val="22"/>
                <w:highlight w:val="none"/>
              </w:rPr>
            </w:pPr>
          </w:p>
          <w:p>
            <w:pPr>
              <w:widowControl/>
              <w:jc w:val="left"/>
              <w:textAlignment w:val="center"/>
              <w:rPr>
                <w:rFonts w:ascii="宋体" w:hAnsi="宋体" w:eastAsia="宋体" w:cs="宋体"/>
                <w:color w:val="000000"/>
                <w:kern w:val="0"/>
                <w:sz w:val="22"/>
                <w:szCs w:val="22"/>
                <w:highlight w:val="none"/>
              </w:rPr>
            </w:pPr>
          </w:p>
        </w:tc>
        <w:tc>
          <w:tcPr>
            <w:tcW w:w="672" w:type="pct"/>
            <w:tcBorders>
              <w:top w:val="single" w:color="auto" w:sz="4" w:space="0"/>
              <w:left w:val="nil"/>
              <w:bottom w:val="nil"/>
              <w:right w:val="nil"/>
            </w:tcBorders>
            <w:shd w:val="clear" w:color="auto" w:fill="auto"/>
            <w:noWrap/>
            <w:vAlign w:val="center"/>
          </w:tcPr>
          <w:p>
            <w:pPr>
              <w:jc w:val="left"/>
              <w:rPr>
                <w:rFonts w:ascii="宋体" w:hAnsi="宋体" w:eastAsia="宋体" w:cs="宋体"/>
                <w:color w:val="000000"/>
                <w:sz w:val="20"/>
                <w:szCs w:val="20"/>
                <w:highlight w:val="none"/>
              </w:rPr>
            </w:pPr>
          </w:p>
        </w:tc>
      </w:tr>
    </w:tbl>
    <w:p>
      <w:pPr>
        <w:jc w:val="left"/>
        <w:rPr>
          <w:rFonts w:ascii="仿宋" w:hAnsi="仿宋" w:eastAsia="仿宋" w:cs="仿宋"/>
          <w:sz w:val="24"/>
          <w:highlight w:val="none"/>
        </w:rPr>
      </w:pPr>
    </w:p>
    <w:p>
      <w:pPr>
        <w:rPr>
          <w:rFonts w:ascii="仿宋" w:hAnsi="仿宋" w:eastAsia="仿宋" w:cs="仿宋"/>
          <w:sz w:val="24"/>
          <w:highlight w:val="none"/>
        </w:rPr>
      </w:pPr>
      <w:r>
        <w:br w:type="page"/>
      </w:r>
    </w:p>
    <w:p>
      <w:pPr>
        <w:jc w:val="left"/>
        <w:rPr>
          <w:rFonts w:ascii="仿宋" w:hAnsi="仿宋" w:eastAsia="仿宋" w:cs="仿宋"/>
          <w:sz w:val="24"/>
          <w:highlight w:val="none"/>
        </w:rPr>
      </w:pPr>
    </w:p>
    <w:p>
      <w:pPr>
        <w:jc w:val="left"/>
        <w:rPr>
          <w:rFonts w:ascii="仿宋" w:hAnsi="仿宋" w:eastAsia="仿宋" w:cs="仿宋"/>
          <w:sz w:val="24"/>
          <w:highlight w:val="none"/>
        </w:rPr>
      </w:pPr>
      <w:r>
        <w:rPr>
          <w:rFonts w:hint="eastAsia" w:ascii="仿宋" w:hAnsi="仿宋" w:eastAsia="仿宋" w:cs="仿宋"/>
          <w:sz w:val="24"/>
          <w:highlight w:val="none"/>
        </w:rPr>
        <w:t>表五：一般公共预算财政拨款支出决算表</w:t>
      </w:r>
    </w:p>
    <w:tbl>
      <w:tblPr>
        <w:tblStyle w:val="6"/>
        <w:tblW w:w="13980" w:type="dxa"/>
        <w:tblInd w:w="96" w:type="dxa"/>
        <w:tblLayout w:type="fixed"/>
        <w:tblCellMar>
          <w:top w:w="0" w:type="dxa"/>
          <w:left w:w="108" w:type="dxa"/>
          <w:bottom w:w="0" w:type="dxa"/>
          <w:right w:w="108" w:type="dxa"/>
        </w:tblCellMar>
      </w:tblPr>
      <w:tblGrid>
        <w:gridCol w:w="2011"/>
        <w:gridCol w:w="272"/>
        <w:gridCol w:w="238"/>
        <w:gridCol w:w="238"/>
        <w:gridCol w:w="2052"/>
        <w:gridCol w:w="3173"/>
        <w:gridCol w:w="3107"/>
        <w:gridCol w:w="2889"/>
      </w:tblGrid>
      <w:tr>
        <w:tblPrEx>
          <w:tblCellMar>
            <w:top w:w="0" w:type="dxa"/>
            <w:left w:w="108" w:type="dxa"/>
            <w:bottom w:w="0" w:type="dxa"/>
            <w:right w:w="108" w:type="dxa"/>
          </w:tblCellMar>
        </w:tblPrEx>
        <w:trPr>
          <w:trHeight w:val="693" w:hRule="atLeast"/>
        </w:trPr>
        <w:tc>
          <w:tcPr>
            <w:tcW w:w="13980" w:type="dxa"/>
            <w:gridSpan w:val="8"/>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一般公共预算财政拨款支出决算表</w:t>
            </w:r>
          </w:p>
        </w:tc>
      </w:tr>
      <w:tr>
        <w:tblPrEx>
          <w:tblCellMar>
            <w:top w:w="0" w:type="dxa"/>
            <w:left w:w="108" w:type="dxa"/>
            <w:bottom w:w="0" w:type="dxa"/>
            <w:right w:w="108" w:type="dxa"/>
          </w:tblCellMar>
        </w:tblPrEx>
        <w:trPr>
          <w:trHeight w:val="346" w:hRule="atLeast"/>
        </w:trPr>
        <w:tc>
          <w:tcPr>
            <w:tcW w:w="2283" w:type="dxa"/>
            <w:gridSpan w:val="2"/>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8"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8"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052"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17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107"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889"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公开05表</w:t>
            </w:r>
          </w:p>
        </w:tc>
      </w:tr>
      <w:tr>
        <w:tblPrEx>
          <w:tblCellMar>
            <w:top w:w="0" w:type="dxa"/>
            <w:left w:w="108" w:type="dxa"/>
            <w:bottom w:w="0" w:type="dxa"/>
            <w:right w:w="108" w:type="dxa"/>
          </w:tblCellMar>
        </w:tblPrEx>
        <w:trPr>
          <w:trHeight w:val="346" w:hRule="atLeast"/>
        </w:trPr>
        <w:tc>
          <w:tcPr>
            <w:tcW w:w="7984" w:type="dxa"/>
            <w:gridSpan w:val="6"/>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3107"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2889" w:type="dxa"/>
            <w:tcBorders>
              <w:top w:val="nil"/>
              <w:left w:val="nil"/>
              <w:bottom w:val="single" w:color="auto" w:sz="4" w:space="0"/>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358" w:hRule="atLeast"/>
        </w:trPr>
        <w:tc>
          <w:tcPr>
            <w:tcW w:w="48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916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本年支出</w:t>
            </w:r>
          </w:p>
        </w:tc>
      </w:tr>
      <w:tr>
        <w:tblPrEx>
          <w:tblCellMar>
            <w:top w:w="0" w:type="dxa"/>
            <w:left w:w="108" w:type="dxa"/>
            <w:bottom w:w="0" w:type="dxa"/>
            <w:right w:w="108" w:type="dxa"/>
          </w:tblCellMar>
        </w:tblPrEx>
        <w:trPr>
          <w:trHeight w:val="353" w:hRule="atLeast"/>
        </w:trPr>
        <w:tc>
          <w:tcPr>
            <w:tcW w:w="20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功能分类科目编码</w:t>
            </w:r>
          </w:p>
        </w:tc>
        <w:tc>
          <w:tcPr>
            <w:tcW w:w="2800"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31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小计</w:t>
            </w:r>
          </w:p>
        </w:tc>
        <w:tc>
          <w:tcPr>
            <w:tcW w:w="310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基本支出</w:t>
            </w:r>
          </w:p>
        </w:tc>
        <w:tc>
          <w:tcPr>
            <w:tcW w:w="28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项目支出</w:t>
            </w:r>
          </w:p>
        </w:tc>
      </w:tr>
      <w:tr>
        <w:tblPrEx>
          <w:tblCellMar>
            <w:top w:w="0" w:type="dxa"/>
            <w:left w:w="108" w:type="dxa"/>
            <w:bottom w:w="0" w:type="dxa"/>
            <w:right w:w="108" w:type="dxa"/>
          </w:tblCellMar>
        </w:tblPrEx>
        <w:trPr>
          <w:trHeight w:val="319" w:hRule="atLeast"/>
        </w:trPr>
        <w:tc>
          <w:tcPr>
            <w:tcW w:w="20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800" w:type="dxa"/>
            <w:gridSpan w:val="4"/>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31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10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88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53" w:hRule="atLeast"/>
        </w:trPr>
        <w:tc>
          <w:tcPr>
            <w:tcW w:w="20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800" w:type="dxa"/>
            <w:gridSpan w:val="4"/>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31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10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88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58" w:hRule="atLeast"/>
        </w:trPr>
        <w:tc>
          <w:tcPr>
            <w:tcW w:w="481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3</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合计</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15426.35</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13839.84</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1586.51</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205</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教育支出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11816.85</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10396.13</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1420.71</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20502</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普通教育</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11816.85</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10396.13</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1420.71</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2050203</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初中教育</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240.47</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240.47</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2050204</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高中教育</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11576.38</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10396.13</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1180.24</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208</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社会保障和就业支出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1821.35</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1706.94</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114.42</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20805</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行政事业单位养老支出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1774.52</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1706.94</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67.58</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2080502</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事业单位离退休</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265.69</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257.25</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8.43</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2080505</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机关事业单位基本养老保险缴费支出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982.22</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942.79</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39.43</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2080506</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机关事业单位职业年金缴费支出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526.61</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506.89</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19.72</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20808</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抚恤</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46.83</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46.83</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2080801</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死亡抚恤</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46.83</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46.83</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210</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卫生健康支出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993.59</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971.78</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21.8</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21011</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行政事业单位医疗</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993.59</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971.78</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21.8</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2101102</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事业单位医疗</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407.33</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386.01</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21.32</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2101103</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公务员医疗补助</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579.07</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579.07</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2101199</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其他行政事业单位医疗支出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7.18</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6.7</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0.49</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221</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住房保障支出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794.56</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764.99</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29.58</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22102</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住房改革支出</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794.56</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764.99</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29.58</w:t>
            </w:r>
          </w:p>
        </w:tc>
      </w:tr>
      <w:tr>
        <w:tblPrEx>
          <w:tblCellMar>
            <w:top w:w="0" w:type="dxa"/>
            <w:left w:w="108" w:type="dxa"/>
            <w:bottom w:w="0" w:type="dxa"/>
            <w:right w:w="108" w:type="dxa"/>
          </w:tblCellMar>
        </w:tblPrEx>
        <w:trPr>
          <w:trHeight w:val="358" w:hRule="atLeast"/>
        </w:trPr>
        <w:tc>
          <w:tcPr>
            <w:tcW w:w="20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2210201</w:t>
            </w:r>
          </w:p>
        </w:tc>
        <w:tc>
          <w:tcPr>
            <w:tcW w:w="280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ascii="宋体" w:hAnsi="宋体" w:eastAsia="宋体" w:cs="宋体"/>
                <w:color w:val="000000"/>
                <w:sz w:val="22"/>
                <w:szCs w:val="22"/>
                <w:highlight w:val="none"/>
              </w:rPr>
              <w:t>住房公积金</w:t>
            </w:r>
          </w:p>
        </w:tc>
        <w:tc>
          <w:tcPr>
            <w:tcW w:w="3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794.56</w:t>
            </w:r>
          </w:p>
        </w:tc>
        <w:tc>
          <w:tcPr>
            <w:tcW w:w="3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764.99</w:t>
            </w:r>
          </w:p>
        </w:tc>
        <w:tc>
          <w:tcPr>
            <w:tcW w:w="28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29.58</w:t>
            </w:r>
          </w:p>
        </w:tc>
      </w:tr>
      <w:tr>
        <w:tblPrEx>
          <w:tblCellMar>
            <w:top w:w="0" w:type="dxa"/>
            <w:left w:w="108" w:type="dxa"/>
            <w:bottom w:w="0" w:type="dxa"/>
            <w:right w:w="108" w:type="dxa"/>
          </w:tblCellMar>
        </w:tblPrEx>
        <w:trPr>
          <w:trHeight w:val="358" w:hRule="atLeast"/>
        </w:trPr>
        <w:tc>
          <w:tcPr>
            <w:tcW w:w="13980" w:type="dxa"/>
            <w:gridSpan w:val="8"/>
            <w:tcBorders>
              <w:top w:val="single" w:color="auto" w:sz="4" w:space="0"/>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注：本表反映部门本年度一般公共预算财政拨款支出情况。</w:t>
            </w:r>
          </w:p>
        </w:tc>
      </w:tr>
    </w:tbl>
    <w:p>
      <w:pPr>
        <w:rPr>
          <w:rFonts w:ascii="仿宋" w:hAnsi="仿宋" w:eastAsia="仿宋" w:cs="仿宋"/>
          <w:sz w:val="24"/>
          <w:highlight w:val="none"/>
        </w:rPr>
      </w:pPr>
      <w:r>
        <w:br w:type="page"/>
      </w:r>
    </w:p>
    <w:p>
      <w:pPr>
        <w:jc w:val="left"/>
        <w:rPr>
          <w:rFonts w:ascii="仿宋" w:hAnsi="仿宋" w:eastAsia="仿宋" w:cs="仿宋"/>
          <w:sz w:val="24"/>
          <w:highlight w:val="none"/>
        </w:rPr>
      </w:pPr>
      <w:r>
        <w:rPr>
          <w:rFonts w:hint="eastAsia" w:ascii="仿宋" w:hAnsi="仿宋" w:eastAsia="仿宋" w:cs="仿宋"/>
          <w:sz w:val="24"/>
          <w:highlight w:val="none"/>
        </w:rPr>
        <w:t>表六：一般公共预算财政拨款基本支出决算表</w:t>
      </w:r>
    </w:p>
    <w:tbl>
      <w:tblPr>
        <w:tblStyle w:val="6"/>
        <w:tblW w:w="14000" w:type="dxa"/>
        <w:tblInd w:w="96" w:type="dxa"/>
        <w:tblLayout w:type="fixed"/>
        <w:tblCellMar>
          <w:top w:w="0" w:type="dxa"/>
          <w:left w:w="108" w:type="dxa"/>
          <w:bottom w:w="0" w:type="dxa"/>
          <w:right w:w="108" w:type="dxa"/>
        </w:tblCellMar>
      </w:tblPr>
      <w:tblGrid>
        <w:gridCol w:w="1107"/>
        <w:gridCol w:w="2371"/>
        <w:gridCol w:w="1106"/>
        <w:gridCol w:w="1280"/>
        <w:gridCol w:w="2347"/>
        <w:gridCol w:w="1160"/>
        <w:gridCol w:w="1173"/>
        <w:gridCol w:w="2147"/>
        <w:gridCol w:w="1309"/>
      </w:tblGrid>
      <w:tr>
        <w:tblPrEx>
          <w:tblCellMar>
            <w:top w:w="0" w:type="dxa"/>
            <w:left w:w="108" w:type="dxa"/>
            <w:bottom w:w="0" w:type="dxa"/>
            <w:right w:w="108" w:type="dxa"/>
          </w:tblCellMar>
        </w:tblPrEx>
        <w:trPr>
          <w:trHeight w:val="614" w:hRule="atLeast"/>
        </w:trPr>
        <w:tc>
          <w:tcPr>
            <w:tcW w:w="14000" w:type="dxa"/>
            <w:gridSpan w:val="9"/>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一般公共预算财政拨款基本支出决算明细表</w:t>
            </w:r>
          </w:p>
        </w:tc>
      </w:tr>
      <w:tr>
        <w:tblPrEx>
          <w:tblCellMar>
            <w:top w:w="0" w:type="dxa"/>
            <w:left w:w="108" w:type="dxa"/>
            <w:bottom w:w="0" w:type="dxa"/>
            <w:right w:w="108" w:type="dxa"/>
          </w:tblCellMar>
        </w:tblPrEx>
        <w:trPr>
          <w:trHeight w:val="307" w:hRule="atLeast"/>
        </w:trPr>
        <w:tc>
          <w:tcPr>
            <w:tcW w:w="1107"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71"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106"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28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47"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16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17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147"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309"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公开06表</w:t>
            </w:r>
          </w:p>
        </w:tc>
      </w:tr>
      <w:tr>
        <w:tblPrEx>
          <w:tblCellMar>
            <w:top w:w="0" w:type="dxa"/>
            <w:left w:w="108" w:type="dxa"/>
            <w:bottom w:w="0" w:type="dxa"/>
            <w:right w:w="108" w:type="dxa"/>
          </w:tblCellMar>
        </w:tblPrEx>
        <w:trPr>
          <w:trHeight w:val="569" w:hRule="atLeast"/>
        </w:trPr>
        <w:tc>
          <w:tcPr>
            <w:tcW w:w="8211" w:type="dxa"/>
            <w:gridSpan w:val="5"/>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1160"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1173"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3456" w:type="dxa"/>
            <w:gridSpan w:val="2"/>
            <w:tcBorders>
              <w:top w:val="nil"/>
              <w:left w:val="nil"/>
              <w:bottom w:val="single" w:color="auto" w:sz="4" w:space="0"/>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319" w:hRule="atLeast"/>
        </w:trPr>
        <w:tc>
          <w:tcPr>
            <w:tcW w:w="458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人员经费</w:t>
            </w:r>
          </w:p>
        </w:tc>
        <w:tc>
          <w:tcPr>
            <w:tcW w:w="9416"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公用经费</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科目编码</w:t>
            </w:r>
          </w:p>
          <w:p>
            <w:pPr>
              <w:widowControl/>
              <w:jc w:val="center"/>
              <w:textAlignment w:val="center"/>
              <w:rPr>
                <w:rFonts w:ascii="宋体" w:hAnsi="宋体" w:eastAsia="宋体" w:cs="宋体"/>
                <w:color w:val="000000"/>
                <w:sz w:val="22"/>
                <w:szCs w:val="22"/>
                <w:highlight w:val="none"/>
              </w:rPr>
            </w:pPr>
          </w:p>
        </w:tc>
        <w:tc>
          <w:tcPr>
            <w:tcW w:w="237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11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决算数</w:t>
            </w:r>
          </w:p>
        </w:tc>
        <w:tc>
          <w:tcPr>
            <w:tcW w:w="12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科目编码</w:t>
            </w:r>
          </w:p>
        </w:tc>
        <w:tc>
          <w:tcPr>
            <w:tcW w:w="234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11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决算数</w:t>
            </w:r>
          </w:p>
        </w:tc>
        <w:tc>
          <w:tcPr>
            <w:tcW w:w="11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科目编码</w:t>
            </w:r>
          </w:p>
        </w:tc>
        <w:tc>
          <w:tcPr>
            <w:tcW w:w="214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13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决算数</w:t>
            </w:r>
          </w:p>
        </w:tc>
      </w:tr>
      <w:tr>
        <w:tblPrEx>
          <w:tblCellMar>
            <w:top w:w="0" w:type="dxa"/>
            <w:left w:w="108" w:type="dxa"/>
            <w:bottom w:w="0" w:type="dxa"/>
            <w:right w:w="108" w:type="dxa"/>
          </w:tblCellMar>
        </w:tblPrEx>
        <w:trPr>
          <w:trHeight w:val="1237" w:hRule="atLeast"/>
        </w:trPr>
        <w:tc>
          <w:tcPr>
            <w:tcW w:w="110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37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10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2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34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1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1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214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3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工资福利支出</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12851.02</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商品和服务支出</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729.2</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307</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债务利息及费用支出</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30101</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基本工资</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2782.15</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30201</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办公费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83.45</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30701</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国内债务付息</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30102</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津贴补贴</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295.52</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30202</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印刷费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32.24</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30702</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国外债务付息</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30103</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奖金</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30203</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咨询费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资本性支出</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30106</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伙食补助费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30204</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手续费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0.2</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31001</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房屋建筑物购建</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30107</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绩效工资</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6480.85</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30205</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水费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68.2</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31002</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办公设备购置</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30108</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机关事业单位基本养老保险缴费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942.79</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30206</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电费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144.14</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31003</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专用设备购置</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30109</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职业年金缴费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506.89</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30207</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邮电费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3.06</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31005</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基础设施建设</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30110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职工基本医疗保险缴费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386.01</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30208</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取暖费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31006</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大型修缮</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30111</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公务员医疗补助缴费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579.07</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30209</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物业管理费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31007</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信息网络及软件购置更新</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30112</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其他社会保障缴费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112.73</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30211</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差旅费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38.61</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31008</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物资储备</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30113</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住房公积金</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764.99</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30212</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因公出国（境）费用</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31009</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土地补偿</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30114</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医疗费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30213</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维修（护）费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86.95</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31010</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安置补助</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30199</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其他工资福利支出</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30214</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租赁费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1.78</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31011</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地上附着物和青苗补偿</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对个人和家庭的补助</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259.62</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30215</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会议费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31012</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拆迁补偿</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30301</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离休费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29.43</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30216</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培训费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1.88</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31013</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公务用车购置</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30302</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退休费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223.86</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30217</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公务接待费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31019</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其他交通工具购置</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30303</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退职（役）费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30218</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专用材料费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20.66</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31021</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文物和陈列品购置</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30304</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抚恤金</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30224</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被装购置费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31022</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无形资产购置</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生活补助</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1.42</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30225</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专用燃料费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31099</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其他资本性支出</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30306</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救济费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30226</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劳务费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9.9</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399</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其他支出</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30307</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医疗费补助</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3.96</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30227</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委托业务费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39907</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国家赔偿费用支出</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30308</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助学金</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0.95</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30228</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工会经费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147.91</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39908</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对民间非营利组织和群众性自治组织补贴</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30309</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奖励金</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30229</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福利费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45.73</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39909</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经常性赠与</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30310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个人农业生产补贴</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30231</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公务用车运行维护费</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39910</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资本性赠与</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30311</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代缴社会保险费</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30239</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其他交通费用</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4.56</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39999</w:t>
            </w: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其他支出</w:t>
            </w: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30399</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其他对个人和家庭的补助</w:t>
            </w: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30240</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税金及附加费用</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0.0</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30299</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其他商品和服务支出</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39.93</w:t>
            </w: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624" w:hRule="atLeast"/>
        </w:trPr>
        <w:tc>
          <w:tcPr>
            <w:tcW w:w="11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人员经费合计</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110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13110.64</w:t>
            </w:r>
          </w:p>
        </w:tc>
        <w:tc>
          <w:tcPr>
            <w:tcW w:w="1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ascii="宋体" w:hAnsi="宋体" w:eastAsia="宋体" w:cs="宋体"/>
                <w:color w:val="000000"/>
                <w:kern w:val="0"/>
                <w:sz w:val="22"/>
                <w:szCs w:val="22"/>
                <w:highlight w:val="none"/>
              </w:rPr>
              <w:t>公用经费合计</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szCs w:val="22"/>
                <w:highlight w:val="none"/>
              </w:rPr>
            </w:pPr>
          </w:p>
        </w:tc>
        <w:tc>
          <w:tcPr>
            <w:tcW w:w="11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214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p>
        </w:tc>
        <w:tc>
          <w:tcPr>
            <w:tcW w:w="130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729.2</w:t>
            </w:r>
          </w:p>
        </w:tc>
      </w:tr>
      <w:tr>
        <w:tblPrEx>
          <w:tblCellMar>
            <w:top w:w="0" w:type="dxa"/>
            <w:left w:w="108" w:type="dxa"/>
            <w:bottom w:w="0" w:type="dxa"/>
            <w:right w:w="108" w:type="dxa"/>
          </w:tblCellMar>
        </w:tblPrEx>
        <w:trPr>
          <w:trHeight w:val="319" w:hRule="atLeast"/>
        </w:trPr>
        <w:tc>
          <w:tcPr>
            <w:tcW w:w="14000" w:type="dxa"/>
            <w:gridSpan w:val="9"/>
            <w:tcBorders>
              <w:top w:val="single" w:color="auto" w:sz="4" w:space="0"/>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注：本表反映部门本年度一般公共预算财政拨款基本支出明细情况。</w:t>
            </w:r>
          </w:p>
        </w:tc>
      </w:tr>
    </w:tbl>
    <w:p>
      <w:pPr>
        <w:jc w:val="left"/>
        <w:rPr>
          <w:rFonts w:ascii="仿宋" w:hAnsi="仿宋" w:eastAsia="仿宋" w:cs="仿宋"/>
          <w:sz w:val="24"/>
          <w:highlight w:val="none"/>
        </w:rPr>
      </w:pPr>
    </w:p>
    <w:p>
      <w:pPr>
        <w:rPr>
          <w:rFonts w:ascii="仿宋" w:hAnsi="仿宋" w:eastAsia="仿宋" w:cs="仿宋"/>
          <w:sz w:val="24"/>
          <w:highlight w:val="none"/>
        </w:rPr>
      </w:pPr>
      <w:r>
        <w:br w:type="page"/>
      </w:r>
    </w:p>
    <w:p>
      <w:pPr>
        <w:jc w:val="left"/>
        <w:rPr>
          <w:rFonts w:ascii="仿宋" w:hAnsi="仿宋" w:eastAsia="仿宋" w:cs="仿宋"/>
          <w:sz w:val="24"/>
          <w:highlight w:val="none"/>
        </w:rPr>
      </w:pPr>
      <w:r>
        <w:rPr>
          <w:rFonts w:hint="eastAsia" w:ascii="仿宋" w:hAnsi="仿宋" w:eastAsia="仿宋" w:cs="仿宋"/>
          <w:sz w:val="24"/>
          <w:highlight w:val="none"/>
        </w:rPr>
        <w:t>表</w:t>
      </w:r>
      <w:r>
        <w:rPr>
          <w:rFonts w:hint="eastAsia" w:ascii="仿宋" w:hAnsi="仿宋" w:eastAsia="仿宋" w:cs="仿宋"/>
          <w:sz w:val="24"/>
          <w:highlight w:val="none"/>
          <w:lang w:val="en-US" w:eastAsia="zh-CN"/>
        </w:rPr>
        <w:t>七</w:t>
      </w:r>
      <w:r>
        <w:rPr>
          <w:rFonts w:hint="eastAsia" w:ascii="仿宋" w:hAnsi="仿宋" w:eastAsia="仿宋" w:cs="仿宋"/>
          <w:sz w:val="24"/>
          <w:highlight w:val="none"/>
        </w:rPr>
        <w:t>：政府性基金预算财政拨款收入支出决算表</w:t>
      </w:r>
    </w:p>
    <w:tbl>
      <w:tblPr>
        <w:tblStyle w:val="6"/>
        <w:tblW w:w="13982" w:type="dxa"/>
        <w:tblInd w:w="96" w:type="dxa"/>
        <w:tblLayout w:type="fixed"/>
        <w:tblCellMar>
          <w:top w:w="0" w:type="dxa"/>
          <w:left w:w="108" w:type="dxa"/>
          <w:bottom w:w="0" w:type="dxa"/>
          <w:right w:w="108" w:type="dxa"/>
        </w:tblCellMar>
      </w:tblPr>
      <w:tblGrid>
        <w:gridCol w:w="1297"/>
        <w:gridCol w:w="240"/>
        <w:gridCol w:w="236"/>
        <w:gridCol w:w="1625"/>
        <w:gridCol w:w="1973"/>
        <w:gridCol w:w="1653"/>
        <w:gridCol w:w="1600"/>
        <w:gridCol w:w="1680"/>
        <w:gridCol w:w="1730"/>
        <w:gridCol w:w="1948"/>
      </w:tblGrid>
      <w:tr>
        <w:tblPrEx>
          <w:tblCellMar>
            <w:top w:w="0" w:type="dxa"/>
            <w:left w:w="108" w:type="dxa"/>
            <w:bottom w:w="0" w:type="dxa"/>
            <w:right w:w="108" w:type="dxa"/>
          </w:tblCellMar>
        </w:tblPrEx>
        <w:trPr>
          <w:trHeight w:val="536" w:hRule="atLeast"/>
        </w:trPr>
        <w:tc>
          <w:tcPr>
            <w:tcW w:w="13982" w:type="dxa"/>
            <w:gridSpan w:val="10"/>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政府性基金预算财政拨款收入支出决算表</w:t>
            </w:r>
          </w:p>
        </w:tc>
      </w:tr>
      <w:tr>
        <w:tblPrEx>
          <w:tblCellMar>
            <w:top w:w="0" w:type="dxa"/>
            <w:left w:w="108" w:type="dxa"/>
            <w:bottom w:w="0" w:type="dxa"/>
            <w:right w:w="108" w:type="dxa"/>
          </w:tblCellMar>
        </w:tblPrEx>
        <w:trPr>
          <w:trHeight w:val="268" w:hRule="atLeast"/>
        </w:trPr>
        <w:tc>
          <w:tcPr>
            <w:tcW w:w="1297"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4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36"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625"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97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65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60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68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73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948"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w:t>
            </w:r>
            <w:r>
              <w:rPr>
                <w:rFonts w:hint="eastAsia" w:ascii="宋体" w:hAnsi="宋体" w:eastAsia="宋体" w:cs="宋体"/>
                <w:color w:val="000000"/>
                <w:kern w:val="0"/>
                <w:sz w:val="20"/>
                <w:szCs w:val="20"/>
                <w:highlight w:val="none"/>
                <w:lang w:val="en-US" w:eastAsia="zh-CN"/>
              </w:rPr>
              <w:t>7</w:t>
            </w:r>
            <w:r>
              <w:rPr>
                <w:rFonts w:hint="eastAsia" w:ascii="宋体" w:hAnsi="宋体" w:eastAsia="宋体" w:cs="宋体"/>
                <w:color w:val="000000"/>
                <w:kern w:val="0"/>
                <w:sz w:val="20"/>
                <w:szCs w:val="20"/>
                <w:highlight w:val="none"/>
              </w:rPr>
              <w:t>表</w:t>
            </w:r>
          </w:p>
        </w:tc>
      </w:tr>
      <w:tr>
        <w:tblPrEx>
          <w:tblCellMar>
            <w:top w:w="0" w:type="dxa"/>
            <w:left w:w="108" w:type="dxa"/>
            <w:bottom w:w="0" w:type="dxa"/>
            <w:right w:w="108" w:type="dxa"/>
          </w:tblCellMar>
        </w:tblPrEx>
        <w:trPr>
          <w:trHeight w:val="268" w:hRule="atLeast"/>
        </w:trPr>
        <w:tc>
          <w:tcPr>
            <w:tcW w:w="8624" w:type="dxa"/>
            <w:gridSpan w:val="7"/>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1680"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1730"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1948" w:type="dxa"/>
            <w:tcBorders>
              <w:top w:val="nil"/>
              <w:left w:val="nil"/>
              <w:bottom w:val="single" w:color="auto" w:sz="4" w:space="0"/>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277" w:hRule="atLeast"/>
        </w:trPr>
        <w:tc>
          <w:tcPr>
            <w:tcW w:w="339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19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年初结转和结余</w:t>
            </w:r>
          </w:p>
        </w:tc>
        <w:tc>
          <w:tcPr>
            <w:tcW w:w="165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本年收入</w:t>
            </w:r>
          </w:p>
        </w:tc>
        <w:tc>
          <w:tcPr>
            <w:tcW w:w="501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本年支出</w:t>
            </w:r>
          </w:p>
        </w:tc>
        <w:tc>
          <w:tcPr>
            <w:tcW w:w="194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年末结转和结余</w:t>
            </w:r>
          </w:p>
        </w:tc>
      </w:tr>
      <w:tr>
        <w:tblPrEx>
          <w:tblCellMar>
            <w:top w:w="0" w:type="dxa"/>
            <w:left w:w="108" w:type="dxa"/>
            <w:bottom w:w="0" w:type="dxa"/>
            <w:right w:w="108" w:type="dxa"/>
          </w:tblCellMar>
        </w:tblPrEx>
        <w:trPr>
          <w:trHeight w:val="312" w:hRule="atLeast"/>
        </w:trPr>
        <w:tc>
          <w:tcPr>
            <w:tcW w:w="153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功能分类科目编码</w:t>
            </w:r>
          </w:p>
        </w:tc>
        <w:tc>
          <w:tcPr>
            <w:tcW w:w="1861"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19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小计</w:t>
            </w:r>
          </w:p>
        </w:tc>
        <w:tc>
          <w:tcPr>
            <w:tcW w:w="16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基本支出</w:t>
            </w:r>
          </w:p>
        </w:tc>
        <w:tc>
          <w:tcPr>
            <w:tcW w:w="17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项目支出</w:t>
            </w:r>
          </w:p>
        </w:tc>
        <w:tc>
          <w:tcPr>
            <w:tcW w:w="194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12" w:hRule="atLeast"/>
        </w:trPr>
        <w:tc>
          <w:tcPr>
            <w:tcW w:w="1537"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861"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19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94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12" w:hRule="atLeast"/>
        </w:trPr>
        <w:tc>
          <w:tcPr>
            <w:tcW w:w="1537"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861"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197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5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6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7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194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277" w:hRule="atLeast"/>
        </w:trPr>
        <w:tc>
          <w:tcPr>
            <w:tcW w:w="339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3</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4</w:t>
            </w: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5</w:t>
            </w: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6</w:t>
            </w:r>
          </w:p>
        </w:tc>
      </w:tr>
      <w:tr>
        <w:tblPrEx>
          <w:tblCellMar>
            <w:top w:w="0" w:type="dxa"/>
            <w:left w:w="108" w:type="dxa"/>
            <w:bottom w:w="0" w:type="dxa"/>
            <w:right w:w="108" w:type="dxa"/>
          </w:tblCellMar>
        </w:tblPrEx>
        <w:trPr>
          <w:trHeight w:val="277" w:hRule="atLeast"/>
        </w:trPr>
        <w:tc>
          <w:tcPr>
            <w:tcW w:w="15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合计</w:t>
            </w:r>
          </w:p>
        </w:tc>
        <w:tc>
          <w:tcPr>
            <w:tcW w:w="186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277" w:hRule="atLeast"/>
        </w:trPr>
        <w:tc>
          <w:tcPr>
            <w:tcW w:w="15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186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277" w:hRule="atLeast"/>
        </w:trPr>
        <w:tc>
          <w:tcPr>
            <w:tcW w:w="15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86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277" w:hRule="atLeast"/>
        </w:trPr>
        <w:tc>
          <w:tcPr>
            <w:tcW w:w="15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86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277" w:hRule="atLeast"/>
        </w:trPr>
        <w:tc>
          <w:tcPr>
            <w:tcW w:w="15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86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277" w:hRule="atLeast"/>
        </w:trPr>
        <w:tc>
          <w:tcPr>
            <w:tcW w:w="15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86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277" w:hRule="atLeast"/>
        </w:trPr>
        <w:tc>
          <w:tcPr>
            <w:tcW w:w="153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86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197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5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73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194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29" w:hRule="atLeast"/>
        </w:trPr>
        <w:tc>
          <w:tcPr>
            <w:tcW w:w="13982" w:type="dxa"/>
            <w:gridSpan w:val="10"/>
            <w:tcBorders>
              <w:top w:val="single" w:color="auto" w:sz="4" w:space="0"/>
              <w:left w:val="nil"/>
              <w:bottom w:val="nil"/>
              <w:right w:val="nil"/>
            </w:tcBorders>
            <w:shd w:val="clear" w:color="auto" w:fill="auto"/>
            <w:noWrap/>
            <w:vAlign w:val="center"/>
          </w:tcPr>
          <w:p>
            <w:pPr>
              <w:widowControl/>
              <w:jc w:val="left"/>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注：本表反映部门本年度政府性基金预算财政拨款收入、支出及结转和结余情况。</w:t>
            </w:r>
          </w:p>
        </w:tc>
      </w:tr>
    </w:tbl>
    <w:p>
      <w:pPr>
        <w:keepNext w:val="0"/>
        <w:keepLines w:val="0"/>
        <w:widowControl w:val="0"/>
        <w:suppressLineNumbers w:val="0"/>
        <w:spacing w:before="0" w:beforeAutospacing="0" w:after="0" w:afterAutospacing="0"/>
        <w:ind w:left="0" w:right="0"/>
        <w:jc w:val="both"/>
        <w:rPr>
          <w:rFonts w:hint="default"/>
        </w:rPr>
      </w:pPr>
      <w:r>
        <w:rPr>
          <w:rFonts w:hint="eastAsia" w:ascii="宋体" w:hAnsi="宋体" w:eastAsia="宋体" w:cs="宋体"/>
          <w:color w:val="FF0000"/>
          <w:kern w:val="2"/>
          <w:sz w:val="21"/>
          <w:szCs w:val="21"/>
          <w:lang w:val="en-US" w:eastAsia="zh-CN"/>
        </w:rPr>
        <w:t>没有数据的表格要零报告，列出空表并在表格下方说明“本部门</w:t>
      </w:r>
      <w:r>
        <w:rPr>
          <w:rFonts w:hint="eastAsia" w:ascii="Times New Roman" w:hAnsi="Times New Roman" w:eastAsia="宋体" w:cs="Times New Roman"/>
          <w:color w:val="FF0000"/>
          <w:kern w:val="2"/>
          <w:sz w:val="21"/>
          <w:szCs w:val="21"/>
          <w:lang w:val="en-US" w:eastAsia="zh-CN"/>
        </w:rPr>
        <w:t>2023年</w:t>
      </w:r>
      <w:r>
        <w:rPr>
          <w:rFonts w:hint="eastAsia" w:ascii="宋体" w:hAnsi="宋体" w:eastAsia="宋体" w:cs="宋体"/>
          <w:color w:val="FF0000"/>
          <w:kern w:val="2"/>
          <w:sz w:val="21"/>
          <w:szCs w:val="21"/>
          <w:lang w:val="en-US" w:eastAsia="zh-CN"/>
        </w:rPr>
        <w:t>度没有政府性基金预算财政拨款收入，也没有政府性基金预算财政拨款安排的支出，故本表无数据”。有数据可删除本段</w:t>
      </w:r>
    </w:p>
    <w:p>
      <w:pPr>
        <w:jc w:val="left"/>
        <w:rPr>
          <w:rFonts w:ascii="仿宋" w:hAnsi="仿宋" w:eastAsia="仿宋" w:cs="仿宋"/>
          <w:sz w:val="24"/>
          <w:highlight w:val="none"/>
        </w:rPr>
      </w:pPr>
    </w:p>
    <w:p>
      <w:pPr>
        <w:rPr>
          <w:rFonts w:ascii="仿宋" w:hAnsi="仿宋" w:eastAsia="仿宋" w:cs="仿宋"/>
          <w:sz w:val="24"/>
          <w:highlight w:val="none"/>
        </w:rPr>
      </w:pPr>
      <w:r>
        <w:br w:type="page"/>
      </w:r>
    </w:p>
    <w:p>
      <w:pPr>
        <w:jc w:val="left"/>
        <w:rPr>
          <w:rFonts w:ascii="仿宋" w:hAnsi="仿宋" w:eastAsia="仿宋" w:cs="仿宋"/>
          <w:sz w:val="24"/>
          <w:highlight w:val="none"/>
        </w:rPr>
      </w:pPr>
    </w:p>
    <w:p>
      <w:pPr>
        <w:jc w:val="left"/>
        <w:rPr>
          <w:rFonts w:ascii="仿宋" w:hAnsi="仿宋" w:eastAsia="仿宋" w:cs="仿宋"/>
          <w:sz w:val="24"/>
          <w:highlight w:val="none"/>
        </w:rPr>
      </w:pPr>
      <w:r>
        <w:rPr>
          <w:rFonts w:hint="eastAsia" w:ascii="仿宋" w:hAnsi="仿宋" w:eastAsia="仿宋" w:cs="仿宋"/>
          <w:sz w:val="24"/>
          <w:highlight w:val="none"/>
        </w:rPr>
        <w:t>表</w:t>
      </w:r>
      <w:r>
        <w:rPr>
          <w:rFonts w:hint="eastAsia" w:ascii="仿宋" w:hAnsi="仿宋" w:eastAsia="仿宋" w:cs="仿宋"/>
          <w:sz w:val="24"/>
          <w:highlight w:val="none"/>
          <w:lang w:val="en-US" w:eastAsia="zh-CN"/>
        </w:rPr>
        <w:t>八</w:t>
      </w:r>
      <w:r>
        <w:rPr>
          <w:rFonts w:hint="eastAsia" w:ascii="仿宋" w:hAnsi="仿宋" w:eastAsia="仿宋" w:cs="仿宋"/>
          <w:sz w:val="24"/>
          <w:highlight w:val="none"/>
        </w:rPr>
        <w:t>：国有资本经营预算财政拨款支出决算表</w:t>
      </w:r>
    </w:p>
    <w:tbl>
      <w:tblPr>
        <w:tblStyle w:val="6"/>
        <w:tblW w:w="13940" w:type="dxa"/>
        <w:tblInd w:w="96" w:type="dxa"/>
        <w:tblLayout w:type="fixed"/>
        <w:tblCellMar>
          <w:top w:w="0" w:type="dxa"/>
          <w:left w:w="108" w:type="dxa"/>
          <w:bottom w:w="0" w:type="dxa"/>
          <w:right w:w="108" w:type="dxa"/>
        </w:tblCellMar>
      </w:tblPr>
      <w:tblGrid>
        <w:gridCol w:w="1638"/>
        <w:gridCol w:w="501"/>
        <w:gridCol w:w="285"/>
        <w:gridCol w:w="363"/>
        <w:gridCol w:w="1960"/>
        <w:gridCol w:w="2993"/>
        <w:gridCol w:w="3135"/>
        <w:gridCol w:w="3065"/>
      </w:tblGrid>
      <w:tr>
        <w:tblPrEx>
          <w:tblCellMar>
            <w:top w:w="0" w:type="dxa"/>
            <w:left w:w="108" w:type="dxa"/>
            <w:bottom w:w="0" w:type="dxa"/>
            <w:right w:w="108" w:type="dxa"/>
          </w:tblCellMar>
        </w:tblPrEx>
        <w:trPr>
          <w:trHeight w:val="384" w:hRule="atLeast"/>
        </w:trPr>
        <w:tc>
          <w:tcPr>
            <w:tcW w:w="13940" w:type="dxa"/>
            <w:gridSpan w:val="8"/>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国有资本经营预算财政拨款支出决算表</w:t>
            </w:r>
          </w:p>
        </w:tc>
      </w:tr>
      <w:tr>
        <w:tblPrEx>
          <w:tblCellMar>
            <w:top w:w="0" w:type="dxa"/>
            <w:left w:w="108" w:type="dxa"/>
            <w:bottom w:w="0" w:type="dxa"/>
            <w:right w:w="108" w:type="dxa"/>
          </w:tblCellMar>
        </w:tblPrEx>
        <w:trPr>
          <w:trHeight w:val="264" w:hRule="atLeast"/>
        </w:trPr>
        <w:tc>
          <w:tcPr>
            <w:tcW w:w="2139" w:type="dxa"/>
            <w:gridSpan w:val="2"/>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85"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6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1960"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2993"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135" w:type="dxa"/>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065"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w:t>
            </w:r>
            <w:r>
              <w:rPr>
                <w:rFonts w:hint="eastAsia" w:ascii="宋体" w:hAnsi="宋体" w:eastAsia="宋体" w:cs="宋体"/>
                <w:color w:val="000000"/>
                <w:kern w:val="0"/>
                <w:sz w:val="20"/>
                <w:szCs w:val="20"/>
                <w:highlight w:val="none"/>
                <w:lang w:val="en-US" w:eastAsia="zh-CN"/>
              </w:rPr>
              <w:t>8</w:t>
            </w:r>
            <w:r>
              <w:rPr>
                <w:rFonts w:hint="eastAsia" w:ascii="宋体" w:hAnsi="宋体" w:eastAsia="宋体" w:cs="宋体"/>
                <w:color w:val="000000"/>
                <w:kern w:val="0"/>
                <w:sz w:val="20"/>
                <w:szCs w:val="20"/>
                <w:highlight w:val="none"/>
              </w:rPr>
              <w:t>表</w:t>
            </w:r>
          </w:p>
        </w:tc>
      </w:tr>
      <w:tr>
        <w:tblPrEx>
          <w:tblCellMar>
            <w:top w:w="0" w:type="dxa"/>
            <w:left w:w="108" w:type="dxa"/>
            <w:bottom w:w="0" w:type="dxa"/>
            <w:right w:w="108" w:type="dxa"/>
          </w:tblCellMar>
        </w:tblPrEx>
        <w:trPr>
          <w:trHeight w:val="264" w:hRule="atLeast"/>
        </w:trPr>
        <w:tc>
          <w:tcPr>
            <w:tcW w:w="7740" w:type="dxa"/>
            <w:gridSpan w:val="6"/>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3135" w:type="dxa"/>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3065" w:type="dxa"/>
            <w:tcBorders>
              <w:top w:val="nil"/>
              <w:left w:val="nil"/>
              <w:bottom w:val="single" w:color="auto" w:sz="4" w:space="0"/>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308" w:hRule="atLeast"/>
        </w:trPr>
        <w:tc>
          <w:tcPr>
            <w:tcW w:w="474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w:t>
            </w:r>
          </w:p>
        </w:tc>
        <w:tc>
          <w:tcPr>
            <w:tcW w:w="91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本年支出</w:t>
            </w:r>
          </w:p>
        </w:tc>
      </w:tr>
      <w:tr>
        <w:tblPrEx>
          <w:tblCellMar>
            <w:top w:w="0" w:type="dxa"/>
            <w:left w:w="108" w:type="dxa"/>
            <w:bottom w:w="0" w:type="dxa"/>
            <w:right w:w="108" w:type="dxa"/>
          </w:tblCellMar>
        </w:tblPrEx>
        <w:trPr>
          <w:trHeight w:val="312" w:hRule="atLeast"/>
        </w:trPr>
        <w:tc>
          <w:tcPr>
            <w:tcW w:w="163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功能分类科目编码</w:t>
            </w:r>
          </w:p>
        </w:tc>
        <w:tc>
          <w:tcPr>
            <w:tcW w:w="3109"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科目名称</w:t>
            </w:r>
          </w:p>
        </w:tc>
        <w:tc>
          <w:tcPr>
            <w:tcW w:w="29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合计</w:t>
            </w:r>
          </w:p>
        </w:tc>
        <w:tc>
          <w:tcPr>
            <w:tcW w:w="31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基本支出</w:t>
            </w:r>
          </w:p>
        </w:tc>
        <w:tc>
          <w:tcPr>
            <w:tcW w:w="30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项目支出</w:t>
            </w:r>
          </w:p>
        </w:tc>
      </w:tr>
      <w:tr>
        <w:tblPrEx>
          <w:tblCellMar>
            <w:top w:w="0" w:type="dxa"/>
            <w:left w:w="108" w:type="dxa"/>
            <w:bottom w:w="0" w:type="dxa"/>
            <w:right w:w="108" w:type="dxa"/>
          </w:tblCellMar>
        </w:tblPrEx>
        <w:trPr>
          <w:trHeight w:val="312" w:hRule="atLeast"/>
        </w:trPr>
        <w:tc>
          <w:tcPr>
            <w:tcW w:w="16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109" w:type="dxa"/>
            <w:gridSpan w:val="4"/>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29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0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12" w:hRule="atLeast"/>
        </w:trPr>
        <w:tc>
          <w:tcPr>
            <w:tcW w:w="163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109" w:type="dxa"/>
            <w:gridSpan w:val="4"/>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p>
        </w:tc>
        <w:tc>
          <w:tcPr>
            <w:tcW w:w="29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0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08" w:hRule="atLeast"/>
        </w:trPr>
        <w:tc>
          <w:tcPr>
            <w:tcW w:w="474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栏次</w:t>
            </w:r>
          </w:p>
        </w:tc>
        <w:tc>
          <w:tcPr>
            <w:tcW w:w="29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30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3</w:t>
            </w:r>
          </w:p>
        </w:tc>
      </w:tr>
      <w:tr>
        <w:tblPrEx>
          <w:tblCellMar>
            <w:top w:w="0" w:type="dxa"/>
            <w:left w:w="108" w:type="dxa"/>
            <w:bottom w:w="0" w:type="dxa"/>
            <w:right w:w="108" w:type="dxa"/>
          </w:tblCellMar>
        </w:tblPrEx>
        <w:trPr>
          <w:trHeight w:val="308" w:hRule="atLeast"/>
        </w:trPr>
        <w:tc>
          <w:tcPr>
            <w:tcW w:w="163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合计</w:t>
            </w:r>
          </w:p>
        </w:tc>
        <w:tc>
          <w:tcPr>
            <w:tcW w:w="3109"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299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306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308" w:hRule="atLeast"/>
        </w:trPr>
        <w:tc>
          <w:tcPr>
            <w:tcW w:w="163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3109"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299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306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r>
      <w:tr>
        <w:tblPrEx>
          <w:tblCellMar>
            <w:top w:w="0" w:type="dxa"/>
            <w:left w:w="108" w:type="dxa"/>
            <w:bottom w:w="0" w:type="dxa"/>
            <w:right w:w="108" w:type="dxa"/>
          </w:tblCellMar>
        </w:tblPrEx>
        <w:trPr>
          <w:trHeight w:val="308" w:hRule="atLeast"/>
        </w:trPr>
        <w:tc>
          <w:tcPr>
            <w:tcW w:w="163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3109"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299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306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08" w:hRule="atLeast"/>
        </w:trPr>
        <w:tc>
          <w:tcPr>
            <w:tcW w:w="163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3109"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color w:val="000000"/>
                <w:sz w:val="22"/>
                <w:szCs w:val="22"/>
                <w:highlight w:val="none"/>
              </w:rPr>
            </w:pPr>
          </w:p>
        </w:tc>
        <w:tc>
          <w:tcPr>
            <w:tcW w:w="299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313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306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308" w:hRule="atLeast"/>
        </w:trPr>
        <w:tc>
          <w:tcPr>
            <w:tcW w:w="13940" w:type="dxa"/>
            <w:gridSpan w:val="8"/>
            <w:tcBorders>
              <w:top w:val="single" w:color="auto" w:sz="4" w:space="0"/>
              <w:left w:val="nil"/>
              <w:bottom w:val="nil"/>
              <w:right w:val="nil"/>
            </w:tcBorders>
            <w:shd w:val="clear" w:color="auto" w:fill="auto"/>
            <w:noWrap/>
            <w:vAlign w:val="center"/>
          </w:tcPr>
          <w:p>
            <w:pPr>
              <w:widowControl/>
              <w:jc w:val="left"/>
              <w:textAlignment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注：本表反映部门本年度国有资本经营预算财政拨款支出情况。</w:t>
            </w:r>
          </w:p>
          <w:p>
            <w:pPr>
              <w:keepNext w:val="0"/>
              <w:keepLines w:val="0"/>
              <w:widowControl w:val="0"/>
              <w:suppressLineNumbers w:val="0"/>
              <w:spacing w:before="0" w:beforeAutospacing="0" w:after="0" w:afterAutospacing="0"/>
              <w:ind w:left="0" w:right="0"/>
              <w:jc w:val="both"/>
            </w:pPr>
            <w:r>
              <w:rPr>
                <w:rFonts w:hint="eastAsia" w:ascii="宋体" w:hAnsi="宋体" w:eastAsia="宋体" w:cs="宋体"/>
                <w:color w:val="FF0000"/>
                <w:kern w:val="2"/>
                <w:sz w:val="21"/>
                <w:szCs w:val="21"/>
                <w:lang w:val="en-US" w:eastAsia="zh-CN"/>
              </w:rPr>
              <w:t>没有数据的表格要零报告，列出空表并在表格下方说明“本部门</w:t>
            </w:r>
            <w:r>
              <w:rPr>
                <w:rFonts w:hint="eastAsia" w:ascii="Times New Roman" w:hAnsi="Times New Roman" w:eastAsia="宋体" w:cs="Times New Roman"/>
                <w:color w:val="FF0000"/>
                <w:kern w:val="2"/>
                <w:sz w:val="21"/>
                <w:szCs w:val="21"/>
                <w:lang w:val="en-US" w:eastAsia="zh-CN"/>
              </w:rPr>
              <w:t>2023年</w:t>
            </w:r>
            <w:r>
              <w:rPr>
                <w:rFonts w:hint="eastAsia" w:ascii="宋体" w:hAnsi="宋体" w:eastAsia="宋体" w:cs="宋体"/>
                <w:color w:val="FF0000"/>
                <w:kern w:val="2"/>
                <w:sz w:val="21"/>
                <w:szCs w:val="21"/>
                <w:lang w:val="en-US" w:eastAsia="zh-CN"/>
              </w:rPr>
              <w:t>度没有国有资本经营预算财政拨款收入，也没有国有资本经营预算财政拨款安排的支出，故本表无数据”。有数据可删除本段</w:t>
            </w:r>
          </w:p>
          <w:p>
            <w:pPr>
              <w:widowControl/>
              <w:jc w:val="left"/>
              <w:textAlignment w:val="center"/>
              <w:rPr>
                <w:rFonts w:hint="eastAsia" w:ascii="宋体" w:hAnsi="宋体" w:eastAsia="宋体" w:cs="宋体"/>
                <w:color w:val="000000"/>
                <w:kern w:val="0"/>
                <w:sz w:val="22"/>
                <w:szCs w:val="22"/>
                <w:highlight w:val="none"/>
              </w:rPr>
            </w:pPr>
          </w:p>
        </w:tc>
      </w:tr>
    </w:tbl>
    <w:p>
      <w:pPr>
        <w:rPr>
          <w:rFonts w:ascii="仿宋" w:hAnsi="仿宋" w:eastAsia="仿宋" w:cs="仿宋"/>
          <w:sz w:val="24"/>
          <w:highlight w:val="none"/>
        </w:rPr>
      </w:pPr>
      <w:r>
        <w:br w:type="page"/>
      </w:r>
    </w:p>
    <w:tbl>
      <w:tblPr>
        <w:tblStyle w:val="6"/>
        <w:tblpPr w:leftFromText="180" w:rightFromText="180" w:vertAnchor="text" w:horzAnchor="page" w:tblpX="1454" w:tblpY="300"/>
        <w:tblOverlap w:val="never"/>
        <w:tblW w:w="4944" w:type="pct"/>
        <w:tblInd w:w="0" w:type="dxa"/>
        <w:tblLayout w:type="fixed"/>
        <w:tblCellMar>
          <w:top w:w="0" w:type="dxa"/>
          <w:left w:w="108" w:type="dxa"/>
          <w:bottom w:w="0" w:type="dxa"/>
          <w:right w:w="108" w:type="dxa"/>
        </w:tblCellMar>
      </w:tblPr>
      <w:tblGrid>
        <w:gridCol w:w="1533"/>
        <w:gridCol w:w="1425"/>
        <w:gridCol w:w="1094"/>
        <w:gridCol w:w="1157"/>
        <w:gridCol w:w="1132"/>
        <w:gridCol w:w="1043"/>
        <w:gridCol w:w="1064"/>
        <w:gridCol w:w="1161"/>
        <w:gridCol w:w="1051"/>
        <w:gridCol w:w="1147"/>
        <w:gridCol w:w="1132"/>
        <w:gridCol w:w="1076"/>
      </w:tblGrid>
      <w:tr>
        <w:tblPrEx>
          <w:tblCellMar>
            <w:top w:w="0" w:type="dxa"/>
            <w:left w:w="108" w:type="dxa"/>
            <w:bottom w:w="0" w:type="dxa"/>
            <w:right w:w="108" w:type="dxa"/>
          </w:tblCellMar>
        </w:tblPrEx>
        <w:trPr>
          <w:trHeight w:val="632" w:hRule="atLeast"/>
        </w:trPr>
        <w:tc>
          <w:tcPr>
            <w:tcW w:w="5000" w:type="pct"/>
            <w:gridSpan w:val="12"/>
            <w:tcBorders>
              <w:top w:val="nil"/>
              <w:left w:val="nil"/>
              <w:bottom w:val="nil"/>
              <w:right w:val="nil"/>
            </w:tcBorders>
            <w:shd w:val="clear" w:color="auto" w:fill="auto"/>
            <w:noWrap/>
            <w:vAlign w:val="bottom"/>
          </w:tcPr>
          <w:p>
            <w:pPr>
              <w:jc w:val="left"/>
              <w:rPr>
                <w:rFonts w:ascii="仿宋" w:hAnsi="仿宋" w:eastAsia="仿宋" w:cs="仿宋"/>
                <w:sz w:val="24"/>
                <w:highlight w:val="none"/>
              </w:rPr>
            </w:pPr>
            <w:r>
              <w:rPr>
                <w:rFonts w:hint="eastAsia" w:ascii="仿宋" w:hAnsi="仿宋" w:eastAsia="仿宋" w:cs="仿宋"/>
                <w:sz w:val="24"/>
                <w:highlight w:val="none"/>
                <w:lang w:val="en-US" w:eastAsia="zh-CN"/>
              </w:rPr>
              <w:t>表九：</w:t>
            </w:r>
            <w:r>
              <w:rPr>
                <w:rFonts w:hint="eastAsia" w:ascii="仿宋" w:hAnsi="仿宋" w:eastAsia="仿宋" w:cs="仿宋"/>
                <w:sz w:val="24"/>
                <w:highlight w:val="none"/>
              </w:rPr>
              <w:t>财政拨款“三公”经费支出决算表</w:t>
            </w:r>
          </w:p>
          <w:p>
            <w:pPr>
              <w:widowControl/>
              <w:jc w:val="center"/>
              <w:textAlignment w:val="bottom"/>
              <w:rPr>
                <w:rFonts w:hint="eastAsia" w:ascii="宋体" w:hAnsi="宋体" w:eastAsia="宋体" w:cs="宋体"/>
                <w:color w:val="000000"/>
                <w:kern w:val="0"/>
                <w:sz w:val="30"/>
                <w:szCs w:val="30"/>
                <w:highlight w:val="none"/>
              </w:rPr>
            </w:pPr>
          </w:p>
          <w:p>
            <w:pPr>
              <w:widowControl/>
              <w:jc w:val="center"/>
              <w:textAlignment w:val="bottom"/>
              <w:rPr>
                <w:rFonts w:ascii="宋体" w:hAnsi="宋体" w:eastAsia="宋体" w:cs="宋体"/>
                <w:color w:val="000000"/>
                <w:sz w:val="30"/>
                <w:szCs w:val="30"/>
                <w:highlight w:val="none"/>
              </w:rPr>
            </w:pPr>
            <w:r>
              <w:rPr>
                <w:rFonts w:hint="eastAsia" w:ascii="宋体" w:hAnsi="宋体" w:eastAsia="宋体" w:cs="宋体"/>
                <w:color w:val="000000"/>
                <w:kern w:val="0"/>
                <w:sz w:val="30"/>
                <w:szCs w:val="30"/>
                <w:highlight w:val="none"/>
              </w:rPr>
              <w:t>财政拨款“三公”经费支出决算表</w:t>
            </w:r>
          </w:p>
        </w:tc>
      </w:tr>
      <w:tr>
        <w:tblPrEx>
          <w:tblCellMar>
            <w:top w:w="0" w:type="dxa"/>
            <w:left w:w="108" w:type="dxa"/>
            <w:bottom w:w="0" w:type="dxa"/>
            <w:right w:w="108" w:type="dxa"/>
          </w:tblCellMar>
        </w:tblPrEx>
        <w:trPr>
          <w:trHeight w:val="316" w:hRule="atLeast"/>
        </w:trPr>
        <w:tc>
          <w:tcPr>
            <w:tcW w:w="546"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508"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90"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412"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404"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72"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79"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414"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74"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409"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404" w:type="pct"/>
            <w:tcBorders>
              <w:top w:val="nil"/>
              <w:left w:val="nil"/>
              <w:bottom w:val="nil"/>
              <w:right w:val="nil"/>
            </w:tcBorders>
            <w:shd w:val="clear" w:color="auto" w:fill="auto"/>
            <w:noWrap/>
            <w:vAlign w:val="bottom"/>
          </w:tcPr>
          <w:p>
            <w:pPr>
              <w:rPr>
                <w:rFonts w:ascii="Arial" w:hAnsi="Arial" w:cs="Arial"/>
                <w:color w:val="000000"/>
                <w:sz w:val="20"/>
                <w:szCs w:val="20"/>
                <w:highlight w:val="none"/>
              </w:rPr>
            </w:pPr>
          </w:p>
        </w:tc>
        <w:tc>
          <w:tcPr>
            <w:tcW w:w="383" w:type="pct"/>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公开0</w:t>
            </w:r>
            <w:r>
              <w:rPr>
                <w:rFonts w:hint="eastAsia" w:ascii="宋体" w:hAnsi="宋体" w:eastAsia="宋体" w:cs="宋体"/>
                <w:color w:val="000000"/>
                <w:kern w:val="0"/>
                <w:sz w:val="20"/>
                <w:szCs w:val="20"/>
                <w:highlight w:val="none"/>
                <w:lang w:val="en-US" w:eastAsia="zh-CN"/>
              </w:rPr>
              <w:t>9</w:t>
            </w:r>
            <w:r>
              <w:rPr>
                <w:rFonts w:hint="eastAsia" w:ascii="宋体" w:hAnsi="宋体" w:eastAsia="宋体" w:cs="宋体"/>
                <w:color w:val="000000"/>
                <w:kern w:val="0"/>
                <w:sz w:val="20"/>
                <w:szCs w:val="20"/>
                <w:highlight w:val="none"/>
              </w:rPr>
              <w:t>表</w:t>
            </w:r>
          </w:p>
        </w:tc>
      </w:tr>
      <w:tr>
        <w:tblPrEx>
          <w:tblCellMar>
            <w:top w:w="0" w:type="dxa"/>
            <w:left w:w="108" w:type="dxa"/>
            <w:bottom w:w="0" w:type="dxa"/>
            <w:right w:w="108" w:type="dxa"/>
          </w:tblCellMar>
        </w:tblPrEx>
        <w:trPr>
          <w:trHeight w:val="316" w:hRule="atLeast"/>
        </w:trPr>
        <w:tc>
          <w:tcPr>
            <w:tcW w:w="2634" w:type="pct"/>
            <w:gridSpan w:val="6"/>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r>
              <w:rPr>
                <w:rFonts w:hint="eastAsia" w:ascii="宋体" w:hAnsi="宋体" w:eastAsia="宋体" w:cs="宋体"/>
                <w:color w:val="000000"/>
                <w:kern w:val="0"/>
                <w:sz w:val="20"/>
                <w:szCs w:val="20"/>
                <w:highlight w:val="none"/>
              </w:rPr>
              <w:t>部门：</w:t>
            </w:r>
            <w:r>
              <w:rPr>
                <w:rFonts w:ascii="宋体" w:hAnsi="宋体" w:eastAsia="宋体" w:cs="宋体"/>
                <w:color w:val="000000"/>
                <w:sz w:val="20"/>
                <w:u w:color="auto"/>
              </w:rPr>
              <w:t>南宁市第二中学</w:t>
            </w:r>
          </w:p>
        </w:tc>
        <w:tc>
          <w:tcPr>
            <w:tcW w:w="379" w:type="pct"/>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414" w:type="pct"/>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374" w:type="pct"/>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409" w:type="pct"/>
            <w:tcBorders>
              <w:top w:val="nil"/>
              <w:left w:val="nil"/>
              <w:bottom w:val="single" w:color="auto" w:sz="4" w:space="0"/>
              <w:right w:val="nil"/>
            </w:tcBorders>
            <w:shd w:val="clear" w:color="auto" w:fill="auto"/>
            <w:noWrap/>
            <w:vAlign w:val="bottom"/>
          </w:tcPr>
          <w:p>
            <w:pPr>
              <w:rPr>
                <w:rFonts w:ascii="Arial" w:hAnsi="Arial" w:cs="Arial"/>
                <w:color w:val="000000"/>
                <w:sz w:val="20"/>
                <w:szCs w:val="20"/>
                <w:highlight w:val="none"/>
              </w:rPr>
            </w:pPr>
          </w:p>
        </w:tc>
        <w:tc>
          <w:tcPr>
            <w:tcW w:w="787" w:type="pct"/>
            <w:gridSpan w:val="2"/>
            <w:tcBorders>
              <w:top w:val="nil"/>
              <w:left w:val="nil"/>
              <w:bottom w:val="single" w:color="auto" w:sz="4" w:space="0"/>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rPr>
            </w:pPr>
            <w:r>
              <w:rPr>
                <w:rFonts w:hint="eastAsia" w:ascii="宋体" w:hAnsi="宋体" w:eastAsia="宋体" w:cs="宋体"/>
                <w:color w:val="000000"/>
                <w:kern w:val="0"/>
                <w:sz w:val="20"/>
                <w:szCs w:val="20"/>
                <w:highlight w:val="none"/>
              </w:rPr>
              <w:t>金额单位：万元</w:t>
            </w:r>
          </w:p>
        </w:tc>
      </w:tr>
      <w:tr>
        <w:tblPrEx>
          <w:tblCellMar>
            <w:top w:w="0" w:type="dxa"/>
            <w:left w:w="108" w:type="dxa"/>
            <w:bottom w:w="0" w:type="dxa"/>
            <w:right w:w="108" w:type="dxa"/>
          </w:tblCellMar>
        </w:tblPrEx>
        <w:trPr>
          <w:trHeight w:val="333" w:hRule="atLeast"/>
        </w:trPr>
        <w:tc>
          <w:tcPr>
            <w:tcW w:w="2634"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预算数</w:t>
            </w:r>
          </w:p>
        </w:tc>
        <w:tc>
          <w:tcPr>
            <w:tcW w:w="2365" w:type="pct"/>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决算数</w:t>
            </w:r>
          </w:p>
        </w:tc>
      </w:tr>
      <w:tr>
        <w:tblPrEx>
          <w:tblCellMar>
            <w:top w:w="0" w:type="dxa"/>
            <w:left w:w="108" w:type="dxa"/>
            <w:bottom w:w="0" w:type="dxa"/>
            <w:right w:w="108" w:type="dxa"/>
          </w:tblCellMar>
        </w:tblPrEx>
        <w:trPr>
          <w:trHeight w:val="326" w:hRule="atLeast"/>
        </w:trPr>
        <w:tc>
          <w:tcPr>
            <w:tcW w:w="54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合计</w:t>
            </w:r>
          </w:p>
        </w:tc>
        <w:tc>
          <w:tcPr>
            <w:tcW w:w="50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因公出国（境）费</w:t>
            </w:r>
          </w:p>
        </w:tc>
        <w:tc>
          <w:tcPr>
            <w:tcW w:w="1207"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公务用车购置及运行费</w:t>
            </w:r>
          </w:p>
        </w:tc>
        <w:tc>
          <w:tcPr>
            <w:tcW w:w="37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公务接待费</w:t>
            </w:r>
          </w:p>
        </w:tc>
        <w:tc>
          <w:tcPr>
            <w:tcW w:w="37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合计</w:t>
            </w:r>
          </w:p>
        </w:tc>
        <w:tc>
          <w:tcPr>
            <w:tcW w:w="41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因公出国（境）费</w:t>
            </w:r>
          </w:p>
        </w:tc>
        <w:tc>
          <w:tcPr>
            <w:tcW w:w="118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公务用车购置及运行费</w:t>
            </w:r>
          </w:p>
        </w:tc>
        <w:tc>
          <w:tcPr>
            <w:tcW w:w="3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公务接待费</w:t>
            </w:r>
          </w:p>
        </w:tc>
      </w:tr>
      <w:tr>
        <w:tblPrEx>
          <w:tblCellMar>
            <w:top w:w="0" w:type="dxa"/>
            <w:left w:w="108" w:type="dxa"/>
            <w:bottom w:w="0" w:type="dxa"/>
            <w:right w:w="108" w:type="dxa"/>
          </w:tblCellMar>
        </w:tblPrEx>
        <w:trPr>
          <w:trHeight w:val="642" w:hRule="atLeast"/>
        </w:trPr>
        <w:tc>
          <w:tcPr>
            <w:tcW w:w="54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5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小计</w:t>
            </w:r>
          </w:p>
        </w:tc>
        <w:tc>
          <w:tcPr>
            <w:tcW w:w="41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公务用车购置费</w:t>
            </w: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公务用车运行费</w:t>
            </w:r>
          </w:p>
        </w:tc>
        <w:tc>
          <w:tcPr>
            <w:tcW w:w="37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7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41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小计</w:t>
            </w: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公务用车购置费</w:t>
            </w: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公务用车运行费</w:t>
            </w:r>
          </w:p>
        </w:tc>
        <w:tc>
          <w:tcPr>
            <w:tcW w:w="38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highlight w:val="none"/>
              </w:rPr>
            </w:pPr>
          </w:p>
        </w:tc>
      </w:tr>
      <w:tr>
        <w:tblPrEx>
          <w:tblCellMar>
            <w:top w:w="0" w:type="dxa"/>
            <w:left w:w="108" w:type="dxa"/>
            <w:bottom w:w="0" w:type="dxa"/>
            <w:right w:w="108" w:type="dxa"/>
          </w:tblCellMar>
        </w:tblPrEx>
        <w:trPr>
          <w:trHeight w:val="959" w:hRule="atLeast"/>
        </w:trPr>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1</w:t>
            </w:r>
          </w:p>
          <w:p>
            <w:pPr>
              <w:widowControl/>
              <w:jc w:val="center"/>
              <w:textAlignment w:val="center"/>
              <w:rPr>
                <w:rFonts w:ascii="宋体" w:hAnsi="宋体" w:eastAsia="宋体" w:cs="宋体"/>
                <w:color w:val="000000"/>
                <w:sz w:val="22"/>
                <w:szCs w:val="22"/>
                <w:highlight w:val="none"/>
              </w:rPr>
            </w:pPr>
          </w:p>
        </w:tc>
        <w:tc>
          <w:tcPr>
            <w:tcW w:w="5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39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3</w:t>
            </w:r>
          </w:p>
        </w:tc>
        <w:tc>
          <w:tcPr>
            <w:tcW w:w="41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4</w:t>
            </w: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5</w:t>
            </w:r>
          </w:p>
        </w:tc>
        <w:tc>
          <w:tcPr>
            <w:tcW w:w="3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6</w:t>
            </w:r>
          </w:p>
        </w:tc>
        <w:tc>
          <w:tcPr>
            <w:tcW w:w="37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7</w:t>
            </w:r>
          </w:p>
        </w:tc>
        <w:tc>
          <w:tcPr>
            <w:tcW w:w="41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8</w:t>
            </w:r>
          </w:p>
        </w:tc>
        <w:tc>
          <w:tcPr>
            <w:tcW w:w="37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9</w:t>
            </w:r>
          </w:p>
        </w:tc>
        <w:tc>
          <w:tcPr>
            <w:tcW w:w="40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10</w:t>
            </w: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11</w:t>
            </w:r>
          </w:p>
        </w:tc>
        <w:tc>
          <w:tcPr>
            <w:tcW w:w="38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12</w:t>
            </w:r>
          </w:p>
        </w:tc>
      </w:tr>
      <w:tr>
        <w:tblPrEx>
          <w:tblCellMar>
            <w:top w:w="0" w:type="dxa"/>
            <w:left w:w="108" w:type="dxa"/>
            <w:bottom w:w="0" w:type="dxa"/>
            <w:right w:w="108" w:type="dxa"/>
          </w:tblCellMar>
        </w:tblPrEx>
        <w:trPr>
          <w:trHeight w:val="642" w:hRule="atLeast"/>
        </w:trPr>
        <w:tc>
          <w:tcPr>
            <w:tcW w:w="54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3.5</w:t>
            </w:r>
          </w:p>
        </w:tc>
        <w:tc>
          <w:tcPr>
            <w:tcW w:w="508"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390"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41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404"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ascii="宋体" w:hAnsi="宋体" w:eastAsia="宋体" w:cs="宋体"/>
                <w:color w:val="000000"/>
                <w:sz w:val="22"/>
                <w:szCs w:val="22"/>
                <w:highlight w:val="none"/>
              </w:rPr>
              <w:t>0.0</w:t>
            </w:r>
          </w:p>
        </w:tc>
        <w:tc>
          <w:tcPr>
            <w:tcW w:w="37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3.5</w:t>
            </w:r>
          </w:p>
        </w:tc>
        <w:tc>
          <w:tcPr>
            <w:tcW w:w="3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0.0</w:t>
            </w:r>
          </w:p>
        </w:tc>
        <w:tc>
          <w:tcPr>
            <w:tcW w:w="414"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p>
        </w:tc>
        <w:tc>
          <w:tcPr>
            <w:tcW w:w="374"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409"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ascii="宋体" w:hAnsi="宋体" w:eastAsia="宋体" w:cs="宋体"/>
                <w:color w:val="000000"/>
                <w:sz w:val="22"/>
                <w:szCs w:val="22"/>
                <w:highlight w:val="none"/>
              </w:rPr>
            </w:pPr>
            <w:r>
              <w:rPr>
                <w:rFonts w:hint="eastAsia" w:ascii="宋体" w:hAnsi="宋体" w:eastAsia="宋体" w:cs="宋体"/>
                <w:color w:val="000000"/>
                <w:sz w:val="22"/>
                <w:szCs w:val="22"/>
                <w:highlight w:val="none"/>
              </w:rPr>
              <w:t>0.0</w:t>
            </w:r>
          </w:p>
        </w:tc>
        <w:tc>
          <w:tcPr>
            <w:tcW w:w="404" w:type="pct"/>
            <w:tcBorders>
              <w:top w:val="single" w:color="auto" w:sz="4" w:space="0"/>
              <w:left w:val="single" w:color="auto" w:sz="4" w:space="0"/>
              <w:bottom w:val="single" w:color="auto" w:sz="4" w:space="0"/>
              <w:right w:val="single" w:color="auto" w:sz="4" w:space="0"/>
            </w:tcBorders>
            <w:shd w:val="clear" w:color="auto" w:fill="auto"/>
            <w:noWrap/>
          </w:tcPr>
          <w:p>
            <w:pPr>
              <w:jc w:val="right"/>
              <w:rPr>
                <w:highlight w:val="none"/>
              </w:rPr>
            </w:pPr>
            <w:r>
              <w:rPr>
                <w:highlight w:val="none"/>
              </w:rPr>
              <w:t>0.0</w:t>
            </w:r>
          </w:p>
        </w:tc>
        <w:tc>
          <w:tcPr>
            <w:tcW w:w="383" w:type="pct"/>
            <w:tcBorders>
              <w:top w:val="single" w:color="auto" w:sz="4" w:space="0"/>
              <w:left w:val="single" w:color="auto" w:sz="4" w:space="0"/>
              <w:bottom w:val="single" w:color="auto" w:sz="4" w:space="0"/>
              <w:right w:val="single" w:color="auto" w:sz="4" w:space="0"/>
            </w:tcBorders>
            <w:shd w:val="clear" w:color="auto" w:fill="auto"/>
            <w:noWrap/>
          </w:tcPr>
          <w:p>
            <w:pPr>
              <w:jc w:val="right"/>
              <w:rPr>
                <w:highlight w:val="none"/>
              </w:rPr>
            </w:pPr>
            <w:r>
              <w:rPr>
                <w:rFonts w:hint="eastAsia" w:ascii="宋体" w:hAnsi="宋体" w:eastAsia="宋体" w:cs="宋体"/>
                <w:color w:val="000000"/>
                <w:kern w:val="0"/>
                <w:sz w:val="22"/>
                <w:szCs w:val="22"/>
                <w:highlight w:val="none"/>
              </w:rPr>
              <w:t>0.0</w:t>
            </w:r>
          </w:p>
        </w:tc>
      </w:tr>
      <w:tr>
        <w:tblPrEx>
          <w:tblCellMar>
            <w:top w:w="0" w:type="dxa"/>
            <w:left w:w="108" w:type="dxa"/>
            <w:bottom w:w="0" w:type="dxa"/>
            <w:right w:w="108" w:type="dxa"/>
          </w:tblCellMar>
        </w:tblPrEx>
        <w:trPr>
          <w:trHeight w:val="642" w:hRule="atLeast"/>
        </w:trPr>
        <w:tc>
          <w:tcPr>
            <w:tcW w:w="5000" w:type="pct"/>
            <w:gridSpan w:val="12"/>
            <w:tcBorders>
              <w:top w:val="single" w:color="auto" w:sz="4" w:space="0"/>
              <w:left w:val="nil"/>
              <w:bottom w:val="nil"/>
              <w:right w:val="nil"/>
            </w:tcBorders>
            <w:shd w:val="clear" w:color="auto" w:fill="auto"/>
            <w:vAlign w:val="center"/>
          </w:tcPr>
          <w:p>
            <w:pPr>
              <w:widowControl/>
              <w:jc w:val="left"/>
              <w:textAlignment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textAlignment w:val="center"/>
              <w:rPr>
                <w:rFonts w:hint="eastAsia" w:ascii="宋体" w:hAnsi="宋体" w:eastAsia="宋体" w:cs="宋体"/>
                <w:color w:val="000000"/>
                <w:kern w:val="0"/>
                <w:sz w:val="22"/>
                <w:szCs w:val="22"/>
                <w:highlight w:val="none"/>
              </w:rPr>
            </w:pPr>
            <w:r>
              <w:rPr>
                <w:rFonts w:hint="eastAsia" w:ascii="宋体" w:hAnsi="宋体" w:eastAsia="宋体" w:cs="宋体"/>
                <w:color w:val="FF0000"/>
                <w:kern w:val="2"/>
                <w:sz w:val="21"/>
                <w:szCs w:val="21"/>
                <w:lang w:val="en-US" w:eastAsia="zh-CN"/>
              </w:rPr>
              <w:t>没有数据的表格要零报告，列出空表并在表格下方说明“本部门</w:t>
            </w:r>
            <w:r>
              <w:rPr>
                <w:rFonts w:hint="eastAsia" w:ascii="Times New Roman" w:hAnsi="Times New Roman" w:eastAsia="宋体" w:cs="Times New Roman"/>
                <w:color w:val="FF0000"/>
                <w:kern w:val="2"/>
                <w:sz w:val="21"/>
                <w:szCs w:val="21"/>
                <w:lang w:val="en-US" w:eastAsia="zh-CN"/>
              </w:rPr>
              <w:t>2023年</w:t>
            </w:r>
            <w:r>
              <w:rPr>
                <w:rFonts w:hint="eastAsia" w:ascii="宋体" w:hAnsi="宋体" w:eastAsia="宋体" w:cs="宋体"/>
                <w:color w:val="FF0000"/>
                <w:kern w:val="2"/>
                <w:sz w:val="21"/>
                <w:szCs w:val="21"/>
                <w:lang w:val="en-US" w:eastAsia="zh-CN"/>
              </w:rPr>
              <w:t>度没有一般公共预算财政拨款“三公”经费收入，也没有一般公共预算财政拨款“三公”经费安排的支出，故本表无数据”。有数据可删除本段</w:t>
            </w:r>
          </w:p>
        </w:tc>
      </w:tr>
    </w:tbl>
    <w:p>
      <w:pPr>
        <w:rPr>
          <w:rFonts w:ascii="仿宋" w:hAnsi="仿宋" w:eastAsia="仿宋" w:cs="仿宋"/>
          <w:sz w:val="24"/>
          <w:highlight w:val="none"/>
        </w:rPr>
      </w:pPr>
    </w:p>
    <w:p>
      <w:pPr>
        <w:keepNext w:val="0"/>
        <w:keepLines w:val="0"/>
        <w:pageBreakBefore w:val="0"/>
        <w:widowControl w:val="0"/>
        <w:kinsoku/>
        <w:wordWrap/>
        <w:overflowPunct/>
        <w:topLinePunct w:val="0"/>
        <w:bidi w:val="0"/>
        <w:snapToGrid/>
        <w:spacing w:line="360" w:lineRule="auto"/>
        <w:textAlignment w:val="auto"/>
        <w:rPr>
          <w:rFonts w:ascii="仿宋" w:hAnsi="仿宋" w:eastAsia="仿宋" w:cs="仿宋"/>
          <w:color w:val="000000" w:themeColor="text1"/>
          <w:sz w:val="24"/>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ascii="仿宋" w:hAnsi="仿宋" w:eastAsia="仿宋" w:cs="仿宋"/>
          <w:color w:val="000000" w:themeColor="text1"/>
          <w:sz w:val="24"/>
          <w:highlight w:val="none"/>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24"/>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center"/>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第三部分：</w:t>
      </w:r>
      <w:r>
        <w:rPr>
          <w:rFonts w:ascii="黑体" w:hAnsi="黑体" w:eastAsia="黑体" w:cs="黑体"/>
          <w:color w:val="000000"/>
          <w:sz w:val="32"/>
          <w:u w:color="auto"/>
        </w:rPr>
        <w:t>南宁市第二中学</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度部门决算情况说明</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一、</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度收入支出决算总体情况</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（一）本部门</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度总收入</w:t>
      </w:r>
      <w:r>
        <w:rPr>
          <w:rFonts w:ascii="仿宋" w:hAnsi="仿宋" w:eastAsia="仿宋" w:cs="仿宋"/>
          <w:color w:val="000000"/>
          <w:sz w:val="32"/>
          <w:u w:color="auto"/>
        </w:rPr>
        <w:t>17889.97</w:t>
      </w:r>
      <w:r>
        <w:rPr>
          <w:rFonts w:hint="eastAsia" w:ascii="仿宋" w:hAnsi="仿宋" w:eastAsia="仿宋" w:cs="仿宋"/>
          <w:color w:val="000000" w:themeColor="text1"/>
          <w:sz w:val="32"/>
          <w:szCs w:val="32"/>
          <w:highlight w:val="none"/>
          <w14:textFill>
            <w14:solidFill>
              <w14:schemeClr w14:val="tx1"/>
            </w14:solidFill>
          </w14:textFill>
        </w:rPr>
        <w:t>万元，其中本年收入</w:t>
      </w:r>
      <w:r>
        <w:rPr>
          <w:rFonts w:ascii="仿宋" w:hAnsi="仿宋" w:eastAsia="仿宋" w:cs="仿宋"/>
          <w:color w:val="000000"/>
          <w:sz w:val="32"/>
          <w:u w:color="auto"/>
        </w:rPr>
        <w:t>17887.85</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17881.78</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增加8.19</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增长0.05%。收入具体情况如下。</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1.一般公共预算财政拨款收入</w:t>
      </w:r>
      <w:r>
        <w:rPr>
          <w:rFonts w:ascii="仿宋" w:hAnsi="仿宋" w:eastAsia="仿宋" w:cs="仿宋"/>
          <w:color w:val="000000"/>
          <w:sz w:val="32"/>
          <w:u w:color="auto"/>
        </w:rPr>
        <w:t>15426.35</w:t>
      </w:r>
      <w:r>
        <w:rPr>
          <w:rFonts w:hint="eastAsia" w:ascii="仿宋" w:hAnsi="仿宋" w:eastAsia="仿宋" w:cs="仿宋"/>
          <w:color w:val="000000" w:themeColor="text1"/>
          <w:sz w:val="32"/>
          <w:szCs w:val="32"/>
          <w:highlight w:val="none"/>
          <w14:textFill>
            <w14:solidFill>
              <w14:schemeClr w14:val="tx1"/>
            </w14:solidFill>
          </w14:textFill>
        </w:rPr>
        <w:t>万元，为财政当年拨付的资金。较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15856.91</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减少430.56</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下降2.72%，</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主要原因：2023年有部分结转资金。</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lang w:val="en-US"/>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2.政府性基金预算财政拨款收入</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万元，为财政当年拨付的资金。较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主要原因：本单位没有政府性基金预算财政拨款收入。</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3.国有资本经营预算财政拨款收入</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万元。为财政当年拨付的资金。较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主要原因：本单位没有国有资本经营预算财政拨款收入。</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lang w:val="en-US"/>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4.上级补助收入</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 万元，为上级部门当年拨付的资金。较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增长0%，主要原因是：本单位没有上级补助收入</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5.事业收入</w:t>
      </w:r>
      <w:r>
        <w:rPr>
          <w:rFonts w:ascii="仿宋" w:hAnsi="仿宋" w:eastAsia="仿宋" w:cs="仿宋"/>
          <w:color w:val="000000"/>
          <w:sz w:val="32"/>
          <w:u w:color="auto"/>
        </w:rPr>
        <w:t>2058.15</w:t>
      </w:r>
      <w:r>
        <w:rPr>
          <w:rFonts w:hint="eastAsia" w:ascii="仿宋" w:hAnsi="仿宋" w:eastAsia="仿宋" w:cs="仿宋"/>
          <w:color w:val="000000" w:themeColor="text1"/>
          <w:sz w:val="32"/>
          <w:szCs w:val="32"/>
          <w:highlight w:val="none"/>
          <w14:textFill>
            <w14:solidFill>
              <w14:schemeClr w14:val="tx1"/>
            </w14:solidFill>
          </w14:textFill>
        </w:rPr>
        <w:t> 万元，为事业单位开展业务活动取得的收入。较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2022.76</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增加35.39</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增长1.75%，主要原因是：国际部招生增加，事业收入增加。</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6.经营收入</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万,为事业单位在业务活动之外开展非独立核算经营活动取得的收入。较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增长0%，主要原因是：本单位没有经营收入。</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附属单位上缴收入</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 万元。较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增长0%，主要原因是：本单位无附属单位上缴收入</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8.其他收入</w:t>
      </w:r>
      <w:r>
        <w:rPr>
          <w:rFonts w:ascii="仿宋" w:hAnsi="仿宋" w:eastAsia="仿宋" w:cs="仿宋"/>
          <w:color w:val="000000"/>
          <w:sz w:val="32"/>
          <w:u w:color="auto"/>
        </w:rPr>
        <w:t>403.35</w:t>
      </w:r>
      <w:r>
        <w:rPr>
          <w:rFonts w:hint="eastAsia" w:ascii="仿宋" w:hAnsi="仿宋" w:eastAsia="仿宋" w:cs="仿宋"/>
          <w:color w:val="000000" w:themeColor="text1"/>
          <w:sz w:val="32"/>
          <w:szCs w:val="32"/>
          <w:highlight w:val="none"/>
          <w14:textFill>
            <w14:solidFill>
              <w14:schemeClr w14:val="tx1"/>
            </w14:solidFill>
          </w14:textFill>
        </w:rPr>
        <w:t>万元,为预算单位在“财政拨款收入”“事业收入”“经营收入”之外取得的收入。较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增加403.35</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增长100%，主要原因是：2023年度新增课后服务服务费、宿舍热水费项目收入。</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9.使用非财政拨款结余</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万元,主要是所属事业单位在当年的“财政拨款收入”“事业收入”“经营收入”及“其他收入”不能保证其支出的情况下，使用以前年度积累的非财政拨款结余弥补本年度收支缺口的资金。较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增长0%，主要原因是：本单位没有非财政拨款结余。</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10.上年结转和结余</w:t>
      </w:r>
      <w:r>
        <w:rPr>
          <w:rFonts w:ascii="仿宋" w:hAnsi="仿宋" w:eastAsia="仿宋" w:cs="仿宋"/>
          <w:color w:val="000000"/>
          <w:sz w:val="32"/>
          <w:u w:color="auto"/>
        </w:rPr>
        <w:t>2.11</w:t>
      </w:r>
      <w:r>
        <w:rPr>
          <w:rFonts w:hint="eastAsia" w:ascii="仿宋" w:hAnsi="仿宋" w:eastAsia="仿宋" w:cs="仿宋"/>
          <w:color w:val="000000" w:themeColor="text1"/>
          <w:sz w:val="32"/>
          <w:szCs w:val="32"/>
          <w:highlight w:val="none"/>
          <w14:textFill>
            <w14:solidFill>
              <w14:schemeClr w14:val="tx1"/>
            </w14:solidFill>
          </w14:textFill>
        </w:rPr>
        <w:t>万元，为以前年度支出预算因客观条件变化未执行完毕、结转到本年度按有关规定继续使用的资金。较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2.11</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增长0.00%，主要原因是</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2022年有结转资金。</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sz w:val="32"/>
          <w:szCs w:val="32"/>
          <w:highlight w:val="none"/>
        </w:rPr>
        <w:drawing>
          <wp:inline distT="0" distB="0" distL="114300" distR="114300">
            <wp:extent cx="5080000" cy="3810000"/>
            <wp:effectExtent l="4445" t="4445" r="5715" b="10795"/>
            <wp:docPr id="2902" name="图表 2" title="{{img_jsgk23_srzc}}"/>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r:id="rId4"/>
              </a:graphicData>
            </a:graphic>
          </wp:inline>
        </w:drawing>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（二）本部门</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度总支出</w:t>
      </w:r>
      <w:r>
        <w:rPr>
          <w:rFonts w:ascii="仿宋" w:hAnsi="仿宋" w:eastAsia="仿宋" w:cs="仿宋"/>
          <w:color w:val="000000"/>
          <w:sz w:val="32"/>
          <w:u w:color="auto"/>
        </w:rPr>
        <w:t>17889.97</w:t>
      </w:r>
      <w:r>
        <w:rPr>
          <w:rFonts w:hint="eastAsia" w:ascii="仿宋" w:hAnsi="仿宋" w:eastAsia="仿宋" w:cs="仿宋"/>
          <w:color w:val="000000" w:themeColor="text1"/>
          <w:sz w:val="32"/>
          <w:szCs w:val="32"/>
          <w:highlight w:val="none"/>
          <w14:textFill>
            <w14:solidFill>
              <w14:schemeClr w14:val="tx1"/>
            </w14:solidFill>
          </w14:textFill>
        </w:rPr>
        <w:t>万元，其中本年支出</w:t>
      </w:r>
      <w:r>
        <w:rPr>
          <w:rFonts w:ascii="仿宋" w:hAnsi="仿宋" w:eastAsia="仿宋" w:cs="仿宋"/>
          <w:color w:val="000000"/>
          <w:sz w:val="32"/>
          <w:u w:color="auto"/>
        </w:rPr>
        <w:t>17841.12</w:t>
      </w:r>
      <w:r>
        <w:rPr>
          <w:rFonts w:hint="eastAsia" w:ascii="仿宋" w:hAnsi="仿宋" w:eastAsia="仿宋" w:cs="仿宋"/>
          <w:color w:val="000000" w:themeColor="text1"/>
          <w:sz w:val="32"/>
          <w:szCs w:val="32"/>
          <w:highlight w:val="none"/>
          <w14:textFill>
            <w14:solidFill>
              <w14:schemeClr w14:val="tx1"/>
            </w14:solidFill>
          </w14:textFill>
        </w:rPr>
        <w:t>万元，较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17881.78</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增加8.19</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增长0.05%。支出具体情况如下：</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14:textFill>
            <w14:solidFill>
              <w14:schemeClr w14:val="tx1"/>
            </w14:solidFill>
          </w14:textFill>
        </w:rPr>
        <w:t>教育支出（205类）14231.61万元：主要用于</w:t>
      </w:r>
      <w:r>
        <w:rPr>
          <w:rFonts w:hint="eastAsia" w:ascii="仿宋" w:hAnsi="仿宋" w:eastAsia="仿宋" w:cs="仿宋"/>
          <w:color w:val="000000" w:themeColor="text1"/>
          <w:sz w:val="32"/>
          <w:szCs w:val="32"/>
          <w:highlight w:val="none"/>
          <w:lang w:eastAsia="zh-CN"/>
          <w14:textFill>
            <w14:solidFill>
              <w14:schemeClr w14:val="tx1"/>
            </w14:solidFill>
          </w14:textFill>
        </w:rPr>
        <w:t>：主要用于人员经费支出、公用经费支出和学校项目支出，其中初中教育535.19万元，高中教育13696.42万元</w:t>
      </w:r>
      <w:r>
        <w:rPr>
          <w:rFonts w:hint="eastAsia" w:ascii="仿宋" w:hAnsi="仿宋" w:eastAsia="仿宋" w:cs="仿宋"/>
          <w:color w:val="000000" w:themeColor="text1"/>
          <w:sz w:val="32"/>
          <w:szCs w:val="32"/>
          <w:highlight w:val="none"/>
          <w14:textFill>
            <w14:solidFill>
              <w14:schemeClr w14:val="tx1"/>
            </w14:solidFill>
          </w14:textFill>
        </w:rPr>
        <w:t>。较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度决算数14354.58万元，减少122.97</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，下降0.86%</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主要原因是：2023年有部分结转资金。</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
          <w14:textFill>
            <w14:solidFill>
              <w14:schemeClr w14:val="tx1"/>
            </w14:solidFill>
          </w14:textFill>
          <w:woUserID w:val="1"/>
        </w:rPr>
      </w:pPr>
      <w:r>
        <w:rPr>
          <w:rFonts w:hint="eastAsia" w:ascii="仿宋" w:hAnsi="仿宋" w:eastAsia="仿宋" w:cs="仿宋"/>
          <w:color w:val="000000" w:themeColor="text1"/>
          <w:sz w:val="32"/>
          <w:szCs w:val="32"/>
          <w:highlight w:val="none"/>
          <w14:textFill>
            <w14:solidFill>
              <w14:schemeClr w14:val="tx1"/>
            </w14:solidFill>
          </w14:textFill>
        </w:rPr>
        <w:t>2</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14:textFill>
            <w14:solidFill>
              <w14:schemeClr w14:val="tx1"/>
            </w14:solidFill>
          </w14:textFill>
        </w:rPr>
        <w:t>社会保障和就业支出（208类）1821.35万元：主要用于</w:t>
      </w:r>
      <w:r>
        <w:rPr>
          <w:rFonts w:hint="eastAsia" w:ascii="仿宋" w:hAnsi="仿宋" w:eastAsia="仿宋" w:cs="仿宋"/>
          <w:color w:val="000000" w:themeColor="text1"/>
          <w:sz w:val="32"/>
          <w:szCs w:val="32"/>
          <w:highlight w:val="none"/>
          <w:lang w:eastAsia="zh-CN"/>
          <w14:textFill>
            <w14:solidFill>
              <w14:schemeClr w14:val="tx1"/>
            </w14:solidFill>
          </w14:textFill>
        </w:rPr>
        <w:t>：机关事业单位基本养老保险缴费支出982.22万元，机关事业单位职业年金缴费支出526.61万元，事业单位离退休265.69万元，死亡抚恤46.83万元</w:t>
      </w:r>
      <w:r>
        <w:rPr>
          <w:rFonts w:hint="eastAsia" w:ascii="仿宋" w:hAnsi="仿宋" w:eastAsia="仿宋" w:cs="仿宋"/>
          <w:color w:val="000000" w:themeColor="text1"/>
          <w:sz w:val="32"/>
          <w:szCs w:val="32"/>
          <w:highlight w:val="none"/>
          <w14:textFill>
            <w14:solidFill>
              <w14:schemeClr w14:val="tx1"/>
            </w14:solidFill>
          </w14:textFill>
        </w:rPr>
        <w:t>。较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度决算数1706.90万元，增加114.45</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，增长6.71%</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主要原因是：与上年相比，离退休人员增加</w:t>
      </w:r>
      <w:r>
        <w:rPr>
          <w:rFonts w:hint="eastAsia" w:ascii="仿宋" w:hAnsi="仿宋" w:eastAsia="仿宋" w:cs="仿宋"/>
          <w:color w:val="000000" w:themeColor="text1"/>
          <w:kern w:val="2"/>
          <w:sz w:val="32"/>
          <w:szCs w:val="32"/>
          <w:highlight w:val="none"/>
          <w:lang w:val="en-US" w:eastAsia="zh"/>
          <w14:textFill>
            <w14:solidFill>
              <w14:schemeClr w14:val="tx1"/>
            </w14:solidFill>
          </w14:textFill>
          <w:woUserID w:val="1"/>
        </w:rPr>
        <w:t>。</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3</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14:textFill>
            <w14:solidFill>
              <w14:schemeClr w14:val="tx1"/>
            </w14:solidFill>
          </w14:textFill>
        </w:rPr>
        <w:t>卫生健康支出（210类）993.59万元：主要用于</w:t>
      </w:r>
      <w:r>
        <w:rPr>
          <w:rFonts w:hint="eastAsia" w:ascii="仿宋" w:hAnsi="仿宋" w:eastAsia="仿宋" w:cs="仿宋"/>
          <w:color w:val="000000" w:themeColor="text1"/>
          <w:sz w:val="32"/>
          <w:szCs w:val="32"/>
          <w:highlight w:val="none"/>
          <w:lang w:eastAsia="zh-CN"/>
          <w14:textFill>
            <w14:solidFill>
              <w14:schemeClr w14:val="tx1"/>
            </w14:solidFill>
          </w14:textFill>
        </w:rPr>
        <w:t>：公务员医疗补助579.07万元，其他行政事业单位医疗支出7.18万元，事业单位医疗407.34万元</w:t>
      </w:r>
      <w:r>
        <w:rPr>
          <w:rFonts w:hint="eastAsia" w:ascii="仿宋" w:hAnsi="仿宋" w:eastAsia="仿宋" w:cs="仿宋"/>
          <w:color w:val="000000" w:themeColor="text1"/>
          <w:sz w:val="32"/>
          <w:szCs w:val="32"/>
          <w:highlight w:val="none"/>
          <w14:textFill>
            <w14:solidFill>
              <w14:schemeClr w14:val="tx1"/>
            </w14:solidFill>
          </w14:textFill>
        </w:rPr>
        <w:t>。较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度决算数1066.14万元，减少72.55</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，下降6.8%</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主要原因是：12月份教职工医疗保险来年支付。</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4</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14:textFill>
            <w14:solidFill>
              <w14:schemeClr w14:val="tx1"/>
            </w14:solidFill>
          </w14:textFill>
        </w:rPr>
        <w:t>住房保障支出（221类）794.56万元：主要用于</w:t>
      </w:r>
      <w:r>
        <w:rPr>
          <w:rFonts w:hint="eastAsia" w:ascii="仿宋" w:hAnsi="仿宋" w:eastAsia="仿宋" w:cs="仿宋"/>
          <w:color w:val="000000" w:themeColor="text1"/>
          <w:sz w:val="32"/>
          <w:szCs w:val="32"/>
          <w:highlight w:val="none"/>
          <w:lang w:eastAsia="zh-CN"/>
          <w14:textFill>
            <w14:solidFill>
              <w14:schemeClr w14:val="tx1"/>
            </w14:solidFill>
          </w14:textFill>
        </w:rPr>
        <w:t>：按国家政策规定为职工缴纳的住房公积金794.56万元</w:t>
      </w:r>
      <w:r>
        <w:rPr>
          <w:rFonts w:hint="eastAsia" w:ascii="仿宋" w:hAnsi="仿宋" w:eastAsia="仿宋" w:cs="仿宋"/>
          <w:color w:val="000000" w:themeColor="text1"/>
          <w:sz w:val="32"/>
          <w:szCs w:val="32"/>
          <w:highlight w:val="none"/>
          <w14:textFill>
            <w14:solidFill>
              <w14:schemeClr w14:val="tx1"/>
            </w14:solidFill>
          </w14:textFill>
        </w:rPr>
        <w:t>。较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度决算数752.05万元，增加42.51</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，增长5.65%</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主要原因是：2023年教职工人数增加，故住房公积金增加。</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结余分配</w:t>
      </w:r>
      <w:r>
        <w:rPr>
          <w:rFonts w:hint="eastAsia" w:ascii="仿宋" w:hAnsi="仿宋" w:eastAsia="仿宋" w:cs="仿宋"/>
          <w:color w:val="000000" w:themeColor="text1"/>
          <w:sz w:val="32"/>
          <w:szCs w:val="32"/>
          <w:highlight w:val="none"/>
          <w:shd w:val="clear" w:color="auto" w:fill="FFFFFF"/>
          <w14:textFill>
            <w14:solidFill>
              <w14:schemeClr w14:val="tx1"/>
            </w14:solidFill>
          </w14:textFill>
        </w:rPr>
        <w:t>0.00</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万元，为事业单位按会计制度规定缴纳的所得税、提取的专用结余以及转入非财政拨款结余的资金等。较</w:t>
      </w:r>
      <w:r>
        <w:rPr>
          <w:rFonts w:hint="eastAsia" w:ascii="仿宋" w:hAnsi="仿宋" w:eastAsia="仿宋" w:cs="仿宋"/>
          <w:i w:val="0"/>
          <w:iCs w:val="0"/>
          <w:caps w:val="0"/>
          <w:color w:val="000000" w:themeColor="text1"/>
          <w:spacing w:val="0"/>
          <w:sz w:val="32"/>
          <w:szCs w:val="32"/>
          <w:highlight w:val="none"/>
          <w:shd w:val="clear" w:color="auto" w:fill="FFFFFF"/>
          <w:lang w:eastAsia="zh-CN"/>
          <w14:textFill>
            <w14:solidFill>
              <w14:schemeClr w14:val="tx1"/>
            </w14:solidFill>
          </w14:textFill>
        </w:rPr>
        <w:t>2022年</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决算</w:t>
      </w:r>
      <w:r>
        <w:rPr>
          <w:rFonts w:hint="eastAsia" w:ascii="仿宋" w:hAnsi="仿宋" w:eastAsia="仿宋" w:cs="仿宋"/>
          <w:color w:val="000000" w:themeColor="text1"/>
          <w:sz w:val="32"/>
          <w:szCs w:val="32"/>
          <w:highlight w:val="none"/>
          <w:shd w:val="clear" w:color="auto" w:fill="FFFFFF"/>
          <w14:textFill>
            <w14:solidFill>
              <w14:schemeClr w14:val="tx1"/>
            </w14:solidFill>
          </w14:textFill>
        </w:rPr>
        <w:t>0.00</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shd w:val="clear" w:color="auto" w:fill="FFFFFF"/>
          <w14:textFill>
            <w14:solidFill>
              <w14:schemeClr w14:val="tx1"/>
            </w14:solidFill>
          </w14:textFill>
        </w:rPr>
        <w:t>增长0%</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，主要原因是</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：本单位无结余分配资金。</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年末结转和结余</w:t>
      </w:r>
      <w:r>
        <w:rPr>
          <w:rFonts w:ascii="仿宋" w:hAnsi="仿宋" w:eastAsia="仿宋" w:cs="仿宋"/>
          <w:color w:val="000000"/>
          <w:sz w:val="32"/>
          <w:u w:color="auto"/>
        </w:rPr>
        <w:t>48.85</w:t>
      </w:r>
      <w:r>
        <w:rPr>
          <w:rFonts w:hint="eastAsia" w:ascii="仿宋" w:hAnsi="仿宋" w:eastAsia="仿宋" w:cs="仿宋"/>
          <w:color w:val="000000" w:themeColor="text1"/>
          <w:sz w:val="32"/>
          <w:szCs w:val="32"/>
          <w:highlight w:val="none"/>
          <w14:textFill>
            <w14:solidFill>
              <w14:schemeClr w14:val="tx1"/>
            </w14:solidFill>
          </w14:textFill>
        </w:rPr>
        <w:t>万元，为单位按有关规定结转到下年或者以后年度继续使用的资金，或项目已完成等产生的结余资金。较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2.11</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增加46.74</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增长2215.17%，</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主要原因是2023年将课后服务费、宿舍热水费纳入预算管理，增加的金额为课后服务费、宿舍热水费的结余资金。</w:t>
      </w:r>
    </w:p>
    <w:p>
      <w:pPr>
        <w:ind w:firstLine="640" w:firstLineChars="200"/>
        <w:jc w:val="center"/>
        <w:rPr>
          <w:rFonts w:ascii="仿宋" w:hAnsi="仿宋" w:eastAsia="仿宋" w:cs="仿宋"/>
          <w:sz w:val="32"/>
          <w:szCs w:val="32"/>
          <w:highlight w:val="none"/>
        </w:rPr>
      </w:pPr>
      <w:r>
        <w:rPr>
          <w:rFonts w:hint="eastAsia" w:ascii="仿宋" w:hAnsi="仿宋" w:eastAsia="仿宋" w:cs="仿宋"/>
          <w:sz w:val="32"/>
          <w:szCs w:val="32"/>
          <w:highlight w:val="none"/>
        </w:rPr>
        <w:drawing>
          <wp:inline distT="0" distB="0" distL="114300" distR="114300">
            <wp:extent cx="5080000" cy="3022600"/>
            <wp:effectExtent l="4445" t="4445" r="5715" b="5715"/>
            <wp:docPr id="2903" name="图表 3" title="{{img_jsgk23_zc}}"/>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r:id="rId5"/>
              </a:graphicData>
            </a:graphic>
          </wp:inline>
        </w:drawing>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二、202</w:t>
      </w:r>
      <w:r>
        <w:rPr>
          <w:rFonts w:hint="eastAsia" w:ascii="黑体" w:hAnsi="黑体" w:eastAsia="黑体" w:cs="黑体"/>
          <w:color w:val="000000" w:themeColor="text1"/>
          <w:sz w:val="32"/>
          <w:szCs w:val="32"/>
          <w:highlight w:val="none"/>
          <w:lang w:val="en-US" w:eastAsia="zh-CN"/>
          <w14:textFill>
            <w14:solidFill>
              <w14:schemeClr w14:val="tx1"/>
            </w14:solidFill>
          </w14:textFill>
        </w:rPr>
        <w:t>3</w:t>
      </w:r>
      <w:r>
        <w:rPr>
          <w:rFonts w:hint="eastAsia" w:ascii="黑体" w:hAnsi="黑体" w:eastAsia="黑体" w:cs="黑体"/>
          <w:color w:val="000000" w:themeColor="text1"/>
          <w:sz w:val="32"/>
          <w:szCs w:val="32"/>
          <w:highlight w:val="none"/>
          <w14:textFill>
            <w14:solidFill>
              <w14:schemeClr w14:val="tx1"/>
            </w14:solidFill>
          </w14:textFill>
        </w:rPr>
        <w:t>年度</w:t>
      </w:r>
      <w:bookmarkStart w:id="0" w:name="OLE_LINK1"/>
      <w:r>
        <w:rPr>
          <w:rFonts w:hint="eastAsia" w:ascii="黑体" w:hAnsi="黑体" w:eastAsia="黑体" w:cs="黑体"/>
          <w:color w:val="000000" w:themeColor="text1"/>
          <w:sz w:val="32"/>
          <w:szCs w:val="32"/>
          <w:highlight w:val="none"/>
          <w14:textFill>
            <w14:solidFill>
              <w14:schemeClr w14:val="tx1"/>
            </w14:solidFill>
          </w14:textFill>
        </w:rPr>
        <w:t>一般公共预算财政拨款支出决算情况</w:t>
      </w:r>
      <w:bookmarkEnd w:id="0"/>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南宁市第二中学</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度一般公共预算财政拨款支出</w:t>
      </w:r>
      <w:r>
        <w:rPr>
          <w:rFonts w:ascii="仿宋" w:hAnsi="仿宋" w:eastAsia="仿宋" w:cs="仿宋"/>
          <w:color w:val="000000"/>
          <w:sz w:val="32"/>
          <w:u w:color="auto"/>
        </w:rPr>
        <w:t>15426.35</w:t>
      </w:r>
      <w:r>
        <w:rPr>
          <w:rFonts w:hint="eastAsia" w:ascii="仿宋" w:hAnsi="仿宋" w:eastAsia="仿宋" w:cs="仿宋"/>
          <w:color w:val="000000" w:themeColor="text1"/>
          <w:sz w:val="32"/>
          <w:szCs w:val="32"/>
          <w:highlight w:val="none"/>
          <w14:textFill>
            <w14:solidFill>
              <w14:schemeClr w14:val="tx1"/>
            </w14:solidFill>
          </w14:textFill>
        </w:rPr>
        <w:t>万元，较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15856.91</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减少430.56</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下降2.72%。其中：基本支出</w:t>
      </w:r>
      <w:r>
        <w:rPr>
          <w:rFonts w:ascii="仿宋" w:hAnsi="仿宋" w:eastAsia="仿宋" w:cs="仿宋"/>
          <w:color w:val="000000"/>
          <w:sz w:val="32"/>
          <w:u w:color="auto"/>
        </w:rPr>
        <w:t>13839.84</w:t>
      </w:r>
      <w:r>
        <w:rPr>
          <w:rFonts w:hint="eastAsia" w:ascii="仿宋" w:hAnsi="仿宋" w:eastAsia="仿宋" w:cs="仿宋"/>
          <w:color w:val="000000" w:themeColor="text1"/>
          <w:sz w:val="32"/>
          <w:szCs w:val="32"/>
          <w:highlight w:val="none"/>
          <w14:textFill>
            <w14:solidFill>
              <w14:schemeClr w14:val="tx1"/>
            </w14:solidFill>
          </w14:textFill>
        </w:rPr>
        <w:t>万元，项目支出</w:t>
      </w:r>
      <w:r>
        <w:rPr>
          <w:rFonts w:ascii="仿宋" w:hAnsi="仿宋" w:eastAsia="仿宋" w:cs="仿宋"/>
          <w:color w:val="000000"/>
          <w:sz w:val="32"/>
          <w:u w:color="auto"/>
        </w:rPr>
        <w:t>1586.51</w:t>
      </w:r>
      <w:r>
        <w:rPr>
          <w:rFonts w:hint="eastAsia" w:ascii="仿宋" w:hAnsi="仿宋" w:eastAsia="仿宋" w:cs="仿宋"/>
          <w:color w:val="000000" w:themeColor="text1"/>
          <w:sz w:val="32"/>
          <w:szCs w:val="32"/>
          <w:highlight w:val="none"/>
          <w14:textFill>
            <w14:solidFill>
              <w14:schemeClr w14:val="tx1"/>
            </w14:solidFill>
          </w14:textFill>
        </w:rPr>
        <w:t>万元。</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南宁市第二中学</w:t>
      </w:r>
      <w:r>
        <w:rPr>
          <w:rFonts w:ascii="仿宋" w:hAnsi="仿宋" w:eastAsia="仿宋" w:cs="仿宋"/>
          <w:color w:val="000000"/>
          <w:sz w:val="32"/>
          <w:u w:color="auto"/>
        </w:rPr>
        <w:t>202</w:t>
      </w:r>
      <w:r>
        <w:rPr>
          <w:rFonts w:hint="eastAsia" w:ascii="仿宋" w:hAnsi="仿宋" w:eastAsia="仿宋" w:cs="仿宋"/>
          <w:color w:val="000000" w:themeColor="text1"/>
          <w:sz w:val="32"/>
          <w:szCs w:val="32"/>
          <w:highlight w:val="non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14:textFill>
            <w14:solidFill>
              <w14:schemeClr w14:val="tx1"/>
            </w14:solidFill>
          </w14:textFill>
        </w:rPr>
        <w:t>年度一般公共预算财政拨款支出年初预算为</w:t>
      </w:r>
      <w:r>
        <w:rPr>
          <w:rFonts w:ascii="仿宋" w:hAnsi="仿宋" w:eastAsia="仿宋" w:cs="仿宋"/>
          <w:color w:val="000000"/>
          <w:sz w:val="32"/>
          <w:u w:color="auto"/>
        </w:rPr>
        <w:t>13596.00</w:t>
      </w:r>
      <w:r>
        <w:rPr>
          <w:rFonts w:hint="eastAsia" w:ascii="仿宋" w:hAnsi="仿宋" w:eastAsia="仿宋" w:cs="仿宋"/>
          <w:color w:val="000000" w:themeColor="text1"/>
          <w:sz w:val="32"/>
          <w:szCs w:val="32"/>
          <w:highlight w:val="none"/>
          <w14:textFill>
            <w14:solidFill>
              <w14:schemeClr w14:val="tx1"/>
            </w14:solidFill>
          </w14:textFill>
        </w:rPr>
        <w:t>万元，支出决算为</w:t>
      </w:r>
      <w:r>
        <w:rPr>
          <w:rFonts w:ascii="仿宋" w:hAnsi="仿宋" w:eastAsia="仿宋" w:cs="仿宋"/>
          <w:color w:val="000000"/>
          <w:sz w:val="32"/>
          <w:u w:color="auto"/>
        </w:rPr>
        <w:t>15426.35</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113.46%</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1)教育支出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(类)</w:t>
      </w:r>
      <w:r>
        <w:rPr>
          <w:rFonts w:hint="eastAsia" w:ascii="仿宋" w:hAnsi="仿宋" w:eastAsia="仿宋" w:cs="仿宋"/>
          <w:color w:val="000000" w:themeColor="text1"/>
          <w:sz w:val="32"/>
          <w:szCs w:val="32"/>
          <w:highlight w:val="none"/>
          <w14:textFill>
            <w14:solidFill>
              <w14:schemeClr w14:val="tx1"/>
            </w14:solidFill>
          </w14:textFill>
        </w:rPr>
        <w:t>年初预算为</w:t>
      </w:r>
      <w:r>
        <w:rPr>
          <w:rFonts w:ascii="仿宋" w:hAnsi="仿宋" w:eastAsia="仿宋" w:cs="仿宋"/>
          <w:color w:val="000000"/>
          <w:sz w:val="32"/>
          <w:u w:color="auto"/>
        </w:rPr>
        <w:t>9502.97万元，支出决算为11816.85</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124.35</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。预决算</w:t>
      </w:r>
      <w:r>
        <w:rPr>
          <w:rFonts w:hint="eastAsia" w:ascii="仿宋" w:hAnsi="仿宋" w:eastAsia="仿宋" w:cs="仿宋"/>
          <w:color w:val="000000" w:themeColor="text1"/>
          <w:sz w:val="32"/>
          <w:szCs w:val="32"/>
          <w:highlight w:val="none"/>
          <w:lang w:val="en-US" w:eastAsia="zh-CN"/>
          <w14:textFill>
            <w14:solidFill>
              <w14:schemeClr w14:val="tx1"/>
            </w14:solidFill>
          </w14:textFill>
        </w:rPr>
        <w:t>存有</w:t>
      </w:r>
      <w:r>
        <w:rPr>
          <w:rFonts w:hint="eastAsia" w:ascii="仿宋" w:hAnsi="仿宋" w:eastAsia="仿宋" w:cs="仿宋"/>
          <w:color w:val="000000" w:themeColor="text1"/>
          <w:sz w:val="32"/>
          <w:szCs w:val="32"/>
          <w:highlight w:val="none"/>
          <w14:textFill>
            <w14:solidFill>
              <w14:schemeClr w14:val="tx1"/>
            </w14:solidFill>
          </w14:textFill>
        </w:rPr>
        <w:t>差异</w:t>
      </w:r>
      <w:r>
        <w:rPr>
          <w:rFonts w:hint="eastAsia" w:ascii="仿宋" w:hAnsi="仿宋" w:eastAsia="仿宋" w:cs="仿宋"/>
          <w:color w:val="000000" w:themeColor="text1"/>
          <w:sz w:val="32"/>
          <w:szCs w:val="32"/>
          <w:highlight w:val="none"/>
          <w:lang w:val="en-US" w:eastAsia="zh-CN"/>
          <w14:textFill>
            <w14:solidFill>
              <w14:schemeClr w14:val="tx1"/>
            </w14:solidFill>
          </w14:textFill>
        </w:rPr>
        <w:t>原因是：年中追加</w:t>
      </w:r>
      <w:bookmarkStart w:id="1" w:name="_GoBack"/>
      <w:bookmarkEnd w:id="1"/>
      <w:r>
        <w:rPr>
          <w:rFonts w:hint="eastAsia" w:ascii="仿宋" w:hAnsi="仿宋" w:eastAsia="仿宋" w:cs="仿宋"/>
          <w:color w:val="000000" w:themeColor="text1"/>
          <w:sz w:val="32"/>
          <w:szCs w:val="32"/>
          <w:highlight w:val="none"/>
          <w:lang w:val="en-US" w:eastAsia="zh-CN"/>
          <w14:textFill>
            <w14:solidFill>
              <w14:schemeClr w14:val="tx1"/>
            </w14:solidFill>
          </w14:textFill>
        </w:rPr>
        <w:t>经费及市财政年中下拨项目资金</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详细请看下表：</w:t>
      </w:r>
    </w:p>
    <w:tbl>
      <w:tblPr>
        <w:tblStyle w:val="6"/>
        <w:tblW w:w="5000" w:type="pct"/>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5"/>
        <w:gridCol w:w="1076"/>
        <w:gridCol w:w="994"/>
        <w:gridCol w:w="806"/>
        <w:gridCol w:w="1097"/>
        <w:gridCol w:w="1783"/>
        <w:gridCol w:w="1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类款项</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科目名称</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年初预算数</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决算</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完成预算百分比</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主要用于</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2050203</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初中教育</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0.00</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240.47</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0.0</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主要用于我校初中校区日常运行开支</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18"/>
                <w:szCs w:val="18"/>
                <w:highlight w:val="none"/>
                <w:u w:val="none"/>
                <w:lang w:val="en-US" w:eastAsia="zh"/>
                <w:woUserID w:val="1"/>
              </w:rPr>
            </w:pPr>
            <w:r>
              <w:rPr>
                <w:rFonts w:hint="default" w:ascii="宋体" w:hAnsi="宋体" w:eastAsia="宋体" w:cs="宋体"/>
                <w:i w:val="0"/>
                <w:iCs w:val="0"/>
                <w:color w:val="auto"/>
                <w:sz w:val="18"/>
                <w:szCs w:val="18"/>
                <w:highlight w:val="none"/>
                <w:u w:val="none"/>
                <w:lang w:val="en-US" w:eastAsia="zh-CN"/>
              </w:rPr>
              <w:t>财政下拨</w:t>
            </w:r>
            <w:r>
              <w:rPr>
                <w:rFonts w:hint="eastAsia" w:ascii="宋体" w:hAnsi="宋体" w:eastAsia="宋体" w:cs="宋体"/>
                <w:i w:val="0"/>
                <w:iCs w:val="0"/>
                <w:color w:val="auto"/>
                <w:sz w:val="18"/>
                <w:szCs w:val="18"/>
                <w:highlight w:val="none"/>
                <w:u w:val="none"/>
                <w:lang w:val="en-US" w:eastAsia="zh"/>
                <w:woUserID w:val="1"/>
              </w:rPr>
              <w:t>上级转移支付资金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2050204</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高中教育</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9502.97</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11576.38</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121.82</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我校人员经费支出和保障教学正常运转的日常公用经费和项目经费</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1、年中追加经费2、市财政年中下拨项目资金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合计数</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highlight w:val="none"/>
                <w:u w:val="none"/>
                <w:lang w:val="en-US" w:eastAsia="zh-CN"/>
              </w:rPr>
            </w:pP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11816.85</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r>
    </w:tbl>
    <w:p>
      <w:pPr>
        <w:keepNext w:val="0"/>
        <w:keepLines w:val="0"/>
        <w:pageBreakBefore w:val="0"/>
        <w:widowControl w:val="0"/>
        <w:kinsoku/>
        <w:wordWrap/>
        <w:overflowPunct/>
        <w:topLinePunct w:val="0"/>
        <w:bidi w:val="0"/>
        <w:snapToGrid/>
        <w:spacing w:line="360" w:lineRule="auto"/>
        <w:jc w:val="left"/>
        <w:textAlignment w:val="auto"/>
        <w:rPr>
          <w:rFonts w:hint="eastAsia" w:ascii="仿宋" w:hAnsi="仿宋" w:eastAsia="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sz w:val="32"/>
          <w:szCs w:val="32"/>
          <w:highlight w:val="none"/>
        </w:rPr>
        <w:drawing>
          <wp:inline distT="0" distB="0" distL="114300" distR="114300">
            <wp:extent cx="5397500" cy="3850005"/>
            <wp:effectExtent l="4445" t="4445" r="8255" b="16510"/>
            <wp:docPr id="2904" name="图表 4" title="{{img_jsgk23_ybggysgnkm_chart}}"/>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r:id="rId6"/>
              </a:graphicData>
            </a:graphic>
          </wp:inline>
        </w:drawing>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2)社会保障和就业支出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(类)</w:t>
      </w:r>
      <w:r>
        <w:rPr>
          <w:rFonts w:hint="eastAsia" w:ascii="仿宋" w:hAnsi="仿宋" w:eastAsia="仿宋" w:cs="仿宋"/>
          <w:color w:val="000000" w:themeColor="text1"/>
          <w:sz w:val="32"/>
          <w:szCs w:val="32"/>
          <w:highlight w:val="none"/>
          <w14:textFill>
            <w14:solidFill>
              <w14:schemeClr w14:val="tx1"/>
            </w14:solidFill>
          </w14:textFill>
        </w:rPr>
        <w:t>年初预算为</w:t>
      </w:r>
      <w:r>
        <w:rPr>
          <w:rFonts w:ascii="仿宋" w:hAnsi="仿宋" w:eastAsia="仿宋" w:cs="仿宋"/>
          <w:color w:val="000000"/>
          <w:sz w:val="32"/>
          <w:u w:color="auto"/>
        </w:rPr>
        <w:t>2032.03万元，支出决算为1821.35</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89.63</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。预决算</w:t>
      </w:r>
      <w:r>
        <w:rPr>
          <w:rFonts w:hint="eastAsia" w:ascii="仿宋" w:hAnsi="仿宋" w:eastAsia="仿宋" w:cs="仿宋"/>
          <w:color w:val="000000" w:themeColor="text1"/>
          <w:sz w:val="32"/>
          <w:szCs w:val="32"/>
          <w:highlight w:val="none"/>
          <w:lang w:val="en-US" w:eastAsia="zh-CN"/>
          <w14:textFill>
            <w14:solidFill>
              <w14:schemeClr w14:val="tx1"/>
            </w14:solidFill>
          </w14:textFill>
        </w:rPr>
        <w:t>存有</w:t>
      </w:r>
      <w:r>
        <w:rPr>
          <w:rFonts w:hint="eastAsia" w:ascii="仿宋" w:hAnsi="仿宋" w:eastAsia="仿宋" w:cs="仿宋"/>
          <w:color w:val="000000" w:themeColor="text1"/>
          <w:sz w:val="32"/>
          <w:szCs w:val="32"/>
          <w:highlight w:val="none"/>
          <w14:textFill>
            <w14:solidFill>
              <w14:schemeClr w14:val="tx1"/>
            </w14:solidFill>
          </w14:textFill>
        </w:rPr>
        <w:t>差异</w:t>
      </w:r>
      <w:r>
        <w:rPr>
          <w:rFonts w:hint="eastAsia" w:ascii="仿宋" w:hAnsi="仿宋" w:eastAsia="仿宋" w:cs="仿宋"/>
          <w:color w:val="000000" w:themeColor="text1"/>
          <w:sz w:val="32"/>
          <w:szCs w:val="32"/>
          <w:highlight w:val="none"/>
          <w:lang w:val="en-US" w:eastAsia="zh-CN"/>
          <w14:textFill>
            <w14:solidFill>
              <w14:schemeClr w14:val="tx1"/>
            </w14:solidFill>
          </w14:textFill>
        </w:rPr>
        <w:t>原因是：12月份机关事位单位基本养老保险及机关事业单位职业年金来年支付</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详细请看下表：</w:t>
      </w:r>
    </w:p>
    <w:tbl>
      <w:tblPr>
        <w:tblStyle w:val="6"/>
        <w:tblW w:w="5000" w:type="pct"/>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5"/>
        <w:gridCol w:w="1076"/>
        <w:gridCol w:w="994"/>
        <w:gridCol w:w="806"/>
        <w:gridCol w:w="1097"/>
        <w:gridCol w:w="1783"/>
        <w:gridCol w:w="1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类款项</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科目名称</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年初预算数</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决算</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完成预算百分比</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主要用于</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2080502</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事业单位离退休</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257.05</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265.69</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103.36</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我校离退休人员的物业补助、生活补助、改革前获得荣誉改革后退休人员退休补助等项目</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2023年退休人员增加，追加退休人员经费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2080505</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机关事业单位基本养老保险缴费支出</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1183.32</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982.22</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83.01</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我校在职教职工的养老保险缴费支出项目</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12月份教职工基本养老保险来年支付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2080506</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机关事业单位职业年金缴费支出</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591.66</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526.61</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89.01</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我校在职教职工的职业年金缴费支出项目</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12月份教职工职业年金来年支付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2080801</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死亡抚恤</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0.00</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46.83</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0.0</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去世教职工丧葬费、抚恤金</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去世人员比2022年多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合计数</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highlight w:val="none"/>
                <w:u w:val="none"/>
                <w:lang w:val="en-US" w:eastAsia="zh-CN"/>
              </w:rPr>
            </w:pP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1821.35</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r>
    </w:tbl>
    <w:p>
      <w:pPr>
        <w:keepNext w:val="0"/>
        <w:keepLines w:val="0"/>
        <w:pageBreakBefore w:val="0"/>
        <w:widowControl w:val="0"/>
        <w:kinsoku/>
        <w:wordWrap/>
        <w:overflowPunct/>
        <w:topLinePunct w:val="0"/>
        <w:bidi w:val="0"/>
        <w:snapToGrid/>
        <w:spacing w:line="360" w:lineRule="auto"/>
        <w:jc w:val="left"/>
        <w:textAlignment w:val="auto"/>
        <w:rPr>
          <w:rFonts w:hint="eastAsia" w:ascii="仿宋" w:hAnsi="仿宋" w:eastAsia="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sz w:val="32"/>
          <w:szCs w:val="32"/>
          <w:highlight w:val="none"/>
        </w:rPr>
        <w:drawing>
          <wp:inline distT="0" distB="0" distL="114300" distR="114300">
            <wp:extent cx="5397500" cy="3850005"/>
            <wp:effectExtent l="4445" t="4445" r="8255" b="16510"/>
            <wp:docPr id="2905" name="图表 4" title="{{img_jsgk23_ybggysgnkm_chart}}"/>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r:id="rId7"/>
              </a:graphicData>
            </a:graphic>
          </wp:inline>
        </w:drawing>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3)卫生健康支出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(类)</w:t>
      </w:r>
      <w:r>
        <w:rPr>
          <w:rFonts w:hint="eastAsia" w:ascii="仿宋" w:hAnsi="仿宋" w:eastAsia="仿宋" w:cs="仿宋"/>
          <w:color w:val="000000" w:themeColor="text1"/>
          <w:sz w:val="32"/>
          <w:szCs w:val="32"/>
          <w:highlight w:val="none"/>
          <w14:textFill>
            <w14:solidFill>
              <w14:schemeClr w14:val="tx1"/>
            </w14:solidFill>
          </w14:textFill>
        </w:rPr>
        <w:t>年初预算为</w:t>
      </w:r>
      <w:r>
        <w:rPr>
          <w:rFonts w:ascii="仿宋" w:hAnsi="仿宋" w:eastAsia="仿宋" w:cs="仿宋"/>
          <w:color w:val="000000"/>
          <w:sz w:val="32"/>
          <w:u w:color="auto"/>
        </w:rPr>
        <w:t>1173.51万元，支出决算为993.59</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84.67</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。预决算</w:t>
      </w:r>
      <w:r>
        <w:rPr>
          <w:rFonts w:hint="eastAsia" w:ascii="仿宋" w:hAnsi="仿宋" w:eastAsia="仿宋" w:cs="仿宋"/>
          <w:color w:val="000000" w:themeColor="text1"/>
          <w:sz w:val="32"/>
          <w:szCs w:val="32"/>
          <w:highlight w:val="none"/>
          <w:lang w:val="en-US" w:eastAsia="zh-CN"/>
          <w14:textFill>
            <w14:solidFill>
              <w14:schemeClr w14:val="tx1"/>
            </w14:solidFill>
          </w14:textFill>
        </w:rPr>
        <w:t>存有</w:t>
      </w:r>
      <w:r>
        <w:rPr>
          <w:rFonts w:hint="eastAsia" w:ascii="仿宋" w:hAnsi="仿宋" w:eastAsia="仿宋" w:cs="仿宋"/>
          <w:color w:val="000000" w:themeColor="text1"/>
          <w:sz w:val="32"/>
          <w:szCs w:val="32"/>
          <w:highlight w:val="none"/>
          <w14:textFill>
            <w14:solidFill>
              <w14:schemeClr w14:val="tx1"/>
            </w14:solidFill>
          </w14:textFill>
        </w:rPr>
        <w:t>差异</w:t>
      </w:r>
      <w:r>
        <w:rPr>
          <w:rFonts w:hint="eastAsia" w:ascii="仿宋" w:hAnsi="仿宋" w:eastAsia="仿宋" w:cs="仿宋"/>
          <w:color w:val="000000" w:themeColor="text1"/>
          <w:sz w:val="32"/>
          <w:szCs w:val="32"/>
          <w:highlight w:val="none"/>
          <w:lang w:val="en-US" w:eastAsia="zh-CN"/>
          <w14:textFill>
            <w14:solidFill>
              <w14:schemeClr w14:val="tx1"/>
            </w14:solidFill>
          </w14:textFill>
        </w:rPr>
        <w:t>原因是：12月教职工医疗保险来年支付</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详细请看下表：</w:t>
      </w:r>
    </w:p>
    <w:tbl>
      <w:tblPr>
        <w:tblStyle w:val="6"/>
        <w:tblW w:w="5000" w:type="pct"/>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5"/>
        <w:gridCol w:w="1076"/>
        <w:gridCol w:w="994"/>
        <w:gridCol w:w="806"/>
        <w:gridCol w:w="1097"/>
        <w:gridCol w:w="1783"/>
        <w:gridCol w:w="1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类款项</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科目名称</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年初预算数</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决算</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完成预算百分比</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主要用于</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2101102</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事业单位医疗</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473.42</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407.33</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86.04</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我单位在职在编教职工基本医疗保险</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12月份教职工基本医疗保险来年支付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2101103</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公务员医疗补助</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693.39</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579.07</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83.51</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我单位在职在编教职工公务员医疗补助</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12月份事业单位公务员医疗补助来年支付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2101199</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其他行政事业单位医疗支出</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6.70</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7.18</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107.16</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我单位在职在编教职工长期护理险及生育保险</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追加新增人员长期护理险及生育保险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合计数</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highlight w:val="none"/>
                <w:u w:val="none"/>
                <w:lang w:val="en-US" w:eastAsia="zh-CN"/>
              </w:rPr>
            </w:pP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993.59</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r>
    </w:tbl>
    <w:p>
      <w:pPr>
        <w:keepNext w:val="0"/>
        <w:keepLines w:val="0"/>
        <w:pageBreakBefore w:val="0"/>
        <w:widowControl w:val="0"/>
        <w:kinsoku/>
        <w:wordWrap/>
        <w:overflowPunct/>
        <w:topLinePunct w:val="0"/>
        <w:bidi w:val="0"/>
        <w:snapToGrid/>
        <w:spacing w:line="360" w:lineRule="auto"/>
        <w:jc w:val="left"/>
        <w:textAlignment w:val="auto"/>
        <w:rPr>
          <w:rFonts w:hint="eastAsia" w:ascii="仿宋" w:hAnsi="仿宋" w:eastAsia="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sz w:val="32"/>
          <w:szCs w:val="32"/>
          <w:highlight w:val="none"/>
        </w:rPr>
        <w:drawing>
          <wp:inline distT="0" distB="0" distL="114300" distR="114300">
            <wp:extent cx="5397500" cy="3850005"/>
            <wp:effectExtent l="4445" t="4445" r="8255" b="16510"/>
            <wp:docPr id="2906" name="图表 4" title="{{img_jsgk23_ybggysgnkm_chart}}"/>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r:id="rId8"/>
              </a:graphicData>
            </a:graphic>
          </wp:inline>
        </w:drawing>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4)住房保障支出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(类)</w:t>
      </w:r>
      <w:r>
        <w:rPr>
          <w:rFonts w:hint="eastAsia" w:ascii="仿宋" w:hAnsi="仿宋" w:eastAsia="仿宋" w:cs="仿宋"/>
          <w:color w:val="000000" w:themeColor="text1"/>
          <w:sz w:val="32"/>
          <w:szCs w:val="32"/>
          <w:highlight w:val="none"/>
          <w14:textFill>
            <w14:solidFill>
              <w14:schemeClr w14:val="tx1"/>
            </w14:solidFill>
          </w14:textFill>
        </w:rPr>
        <w:t>年初预算为</w:t>
      </w:r>
      <w:r>
        <w:rPr>
          <w:rFonts w:ascii="仿宋" w:hAnsi="仿宋" w:eastAsia="仿宋" w:cs="仿宋"/>
          <w:color w:val="000000"/>
          <w:sz w:val="32"/>
          <w:u w:color="auto"/>
        </w:rPr>
        <w:t>887.49万元，支出决算为794.56</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89.53</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。预决算</w:t>
      </w:r>
      <w:r>
        <w:rPr>
          <w:rFonts w:hint="eastAsia" w:ascii="仿宋" w:hAnsi="仿宋" w:eastAsia="仿宋" w:cs="仿宋"/>
          <w:color w:val="000000" w:themeColor="text1"/>
          <w:sz w:val="32"/>
          <w:szCs w:val="32"/>
          <w:highlight w:val="none"/>
          <w:lang w:val="en-US" w:eastAsia="zh-CN"/>
          <w14:textFill>
            <w14:solidFill>
              <w14:schemeClr w14:val="tx1"/>
            </w14:solidFill>
          </w14:textFill>
        </w:rPr>
        <w:t>存有</w:t>
      </w:r>
      <w:r>
        <w:rPr>
          <w:rFonts w:hint="eastAsia" w:ascii="仿宋" w:hAnsi="仿宋" w:eastAsia="仿宋" w:cs="仿宋"/>
          <w:color w:val="000000" w:themeColor="text1"/>
          <w:sz w:val="32"/>
          <w:szCs w:val="32"/>
          <w:highlight w:val="none"/>
          <w14:textFill>
            <w14:solidFill>
              <w14:schemeClr w14:val="tx1"/>
            </w14:solidFill>
          </w14:textFill>
        </w:rPr>
        <w:t>差异</w:t>
      </w:r>
      <w:r>
        <w:rPr>
          <w:rFonts w:hint="eastAsia" w:ascii="仿宋" w:hAnsi="仿宋" w:eastAsia="仿宋" w:cs="仿宋"/>
          <w:color w:val="000000" w:themeColor="text1"/>
          <w:sz w:val="32"/>
          <w:szCs w:val="32"/>
          <w:highlight w:val="none"/>
          <w:lang w:val="en-US" w:eastAsia="zh-CN"/>
          <w14:textFill>
            <w14:solidFill>
              <w14:schemeClr w14:val="tx1"/>
            </w14:solidFill>
          </w14:textFill>
        </w:rPr>
        <w:t>原因是：12月份公积金来年支付</w:t>
      </w:r>
      <w:r>
        <w:rPr>
          <w:rFonts w:ascii="仿宋" w:hAnsi="仿宋" w:eastAsia="仿宋" w:cs="仿宋"/>
          <w:color w:val="000000"/>
          <w:sz w:val="32"/>
          <w:u w:color="auto"/>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详细请看下表：</w:t>
      </w:r>
    </w:p>
    <w:tbl>
      <w:tblPr>
        <w:tblStyle w:val="6"/>
        <w:tblW w:w="5000" w:type="pct"/>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5"/>
        <w:gridCol w:w="1076"/>
        <w:gridCol w:w="994"/>
        <w:gridCol w:w="806"/>
        <w:gridCol w:w="1097"/>
        <w:gridCol w:w="1783"/>
        <w:gridCol w:w="1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类款项</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科目名称</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年初预算数</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决算</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rPr>
              <w:t>完成预算百分比</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主要用于</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2210201</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住房公积金</w:t>
            </w: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887.49</w:t>
            </w: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794.56</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89.53</w:t>
            </w: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我单位在编在职教职工缴纳住房公积金项目</w:t>
            </w: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sz w:val="18"/>
                <w:szCs w:val="18"/>
                <w:highlight w:val="none"/>
                <w:u w:val="none"/>
                <w:lang w:val="en-US" w:eastAsia="zh-CN"/>
              </w:rPr>
            </w:pPr>
            <w:r>
              <w:rPr>
                <w:rFonts w:hint="default" w:ascii="宋体" w:hAnsi="宋体" w:eastAsia="宋体" w:cs="宋体"/>
                <w:i w:val="0"/>
                <w:iCs w:val="0"/>
                <w:color w:val="auto"/>
                <w:sz w:val="18"/>
                <w:szCs w:val="18"/>
                <w:highlight w:val="none"/>
                <w:u w:val="none"/>
                <w:lang w:val="en-US" w:eastAsia="zh-CN"/>
              </w:rPr>
              <w:t>12月份公积金来年支付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95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合计数</w:t>
            </w:r>
          </w:p>
        </w:tc>
        <w:tc>
          <w:tcPr>
            <w:tcW w:w="107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0"/>
                <w:szCs w:val="20"/>
                <w:highlight w:val="none"/>
                <w:u w:val="none"/>
                <w:lang w:val="en-US" w:eastAsia="zh-CN"/>
              </w:rPr>
            </w:pPr>
          </w:p>
        </w:tc>
        <w:tc>
          <w:tcPr>
            <w:tcW w:w="994"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806"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794.56</w:t>
            </w:r>
          </w:p>
        </w:tc>
        <w:tc>
          <w:tcPr>
            <w:tcW w:w="1097"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p>
        </w:tc>
        <w:tc>
          <w:tcPr>
            <w:tcW w:w="1783"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c>
          <w:tcPr>
            <w:tcW w:w="1825" w:type="dxa"/>
            <w:tcBorders>
              <w:top w:val="dotted" w:color="auto" w:sz="4" w:space="0"/>
              <w:left w:val="dotted" w:color="auto" w:sz="4" w:space="0"/>
              <w:bottom w:val="dotted" w:color="auto" w:sz="4" w:space="0"/>
              <w:right w:val="dotted" w:color="auto" w:sz="4" w:space="0"/>
            </w:tcBorders>
            <w:shd w:val="clear" w:color="auto" w:fill="FFFFFF"/>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auto"/>
                <w:kern w:val="2"/>
                <w:sz w:val="18"/>
                <w:szCs w:val="18"/>
                <w:highlight w:val="none"/>
                <w:u w:val="none"/>
                <w:lang w:val="en-US" w:eastAsia="zh-CN" w:bidi="ar-SA"/>
              </w:rPr>
            </w:pPr>
          </w:p>
        </w:tc>
      </w:tr>
    </w:tbl>
    <w:p>
      <w:pPr>
        <w:keepNext w:val="0"/>
        <w:keepLines w:val="0"/>
        <w:pageBreakBefore w:val="0"/>
        <w:widowControl w:val="0"/>
        <w:kinsoku/>
        <w:wordWrap/>
        <w:overflowPunct/>
        <w:topLinePunct w:val="0"/>
        <w:bidi w:val="0"/>
        <w:snapToGrid/>
        <w:spacing w:line="360" w:lineRule="auto"/>
        <w:jc w:val="left"/>
        <w:textAlignment w:val="auto"/>
        <w:rPr>
          <w:rFonts w:hint="eastAsia" w:ascii="仿宋" w:hAnsi="仿宋" w:eastAsia="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sz w:val="32"/>
          <w:szCs w:val="32"/>
          <w:highlight w:val="none"/>
        </w:rPr>
        <w:drawing>
          <wp:inline distT="0" distB="0" distL="114300" distR="114300">
            <wp:extent cx="5397500" cy="3850005"/>
            <wp:effectExtent l="4445" t="4445" r="8255" b="16510"/>
            <wp:docPr id="2907" name="图表 4" title="{{img_jsgk23_ybggysgnkm_chart}}"/>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r:id="rId9"/>
              </a:graphicData>
            </a:graphic>
          </wp:inline>
        </w:drawing>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三、</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度一般公共预算财政拨款基本支出决算情况说明</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南宁市第二中学</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度一般公共预算财政拨款基本支出</w:t>
      </w:r>
      <w:r>
        <w:rPr>
          <w:rFonts w:ascii="仿宋" w:hAnsi="仿宋" w:eastAsia="仿宋" w:cs="仿宋"/>
          <w:color w:val="000000"/>
          <w:sz w:val="32"/>
          <w:u w:color="auto"/>
        </w:rPr>
        <w:t>13839.84</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其中：人员经费支出</w:t>
      </w:r>
      <w:r>
        <w:rPr>
          <w:rFonts w:hint="eastAsia" w:ascii="仿宋" w:hAnsi="仿宋" w:eastAsia="仿宋" w:cs="仿宋"/>
          <w:color w:val="000000" w:themeColor="text1"/>
          <w:sz w:val="32"/>
          <w:szCs w:val="32"/>
          <w:highlight w:val="none"/>
          <w14:textFill>
            <w14:solidFill>
              <w14:schemeClr w14:val="tx1"/>
            </w14:solidFill>
          </w14:textFill>
        </w:rPr>
        <w:t>13110.64</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万元，</w:t>
      </w:r>
      <w:r>
        <w:rPr>
          <w:rFonts w:hint="eastAsia" w:ascii="仿宋" w:hAnsi="仿宋" w:eastAsia="仿宋" w:cs="仿宋"/>
          <w:kern w:val="0"/>
          <w:sz w:val="32"/>
          <w:szCs w:val="32"/>
          <w:highlight w:val="none"/>
        </w:rPr>
        <w:t>主要包括：</w:t>
      </w:r>
      <w:r>
        <w:rPr>
          <w:rFonts w:ascii="仿宋" w:hAnsi="仿宋" w:eastAsia="仿宋" w:cs="仿宋"/>
          <w:color w:val="000000"/>
          <w:sz w:val="32"/>
          <w:u w:color="auto"/>
        </w:rPr>
        <w:t>基本工资2782.15</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津贴补贴295.52</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绩效工资6480.85</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机关事业单位基本养老保险缴费942.79</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职业年金缴费506.89</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职工基本医疗保险缴费386.01</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公务员医疗补助缴费579.07</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其他社会保障缴费112.73</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住房公积金764.99</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离休费29.43</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退休费223.86</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生活补助1.42</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医疗费补助3.96</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助学金0.95</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kern w:val="0"/>
          <w:sz w:val="32"/>
          <w:szCs w:val="32"/>
          <w:highlight w:val="none"/>
          <w:lang w:val="en-US" w:eastAsia="zh-CN"/>
        </w:rPr>
        <w:t>；</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公用经费支出</w:t>
      </w:r>
      <w:r>
        <w:rPr>
          <w:rFonts w:hint="eastAsia" w:ascii="仿宋" w:hAnsi="仿宋" w:eastAsia="仿宋" w:cs="仿宋"/>
          <w:color w:val="000000" w:themeColor="text1"/>
          <w:sz w:val="32"/>
          <w:szCs w:val="32"/>
          <w:highlight w:val="none"/>
          <w14:textFill>
            <w14:solidFill>
              <w14:schemeClr w14:val="tx1"/>
            </w14:solidFill>
          </w14:textFill>
        </w:rPr>
        <w:t>729.20</w:t>
      </w:r>
      <w:r>
        <w:rPr>
          <w:rFonts w:hint="eastAsia" w:ascii="仿宋" w:hAnsi="仿宋" w:eastAsia="仿宋" w:cs="仿宋"/>
          <w:i w:val="0"/>
          <w:iCs w:val="0"/>
          <w:caps w:val="0"/>
          <w:color w:val="000000" w:themeColor="text1"/>
          <w:spacing w:val="0"/>
          <w:sz w:val="32"/>
          <w:szCs w:val="32"/>
          <w:highlight w:val="none"/>
          <w:shd w:val="clear" w:color="auto" w:fill="FFFFFF"/>
          <w14:textFill>
            <w14:solidFill>
              <w14:schemeClr w14:val="tx1"/>
            </w14:solidFill>
          </w14:textFill>
        </w:rPr>
        <w:t>万元</w:t>
      </w:r>
      <w:r>
        <w:rPr>
          <w:rFonts w:hint="eastAsia" w:ascii="仿宋" w:hAnsi="仿宋" w:eastAsia="仿宋" w:cs="仿宋"/>
          <w:i w:val="0"/>
          <w:iCs w:val="0"/>
          <w:caps w:val="0"/>
          <w:color w:val="000000" w:themeColor="text1"/>
          <w:spacing w:val="0"/>
          <w:sz w:val="32"/>
          <w:szCs w:val="32"/>
          <w:highlight w:val="none"/>
          <w:shd w:val="clear" w:color="auto" w:fill="FFFFFF"/>
          <w:lang w:eastAsia="zh-CN"/>
          <w14:textFill>
            <w14:solidFill>
              <w14:schemeClr w14:val="tx1"/>
            </w14:solidFill>
          </w14:textFill>
        </w:rPr>
        <w:t>，</w:t>
      </w:r>
      <w:r>
        <w:rPr>
          <w:rFonts w:ascii="仿宋" w:hAnsi="仿宋" w:eastAsia="仿宋" w:cs="仿宋"/>
          <w:color w:val="000000"/>
          <w:sz w:val="32"/>
          <w:u w:color="auto"/>
        </w:rPr>
        <w:t>办公费83.45</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印刷费32.24</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手续费0.2</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水费68.2</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电费144.14</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邮电费3.06</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差旅费38.61</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维修（护）费86.95</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租赁费1.78</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培训费1.88</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专用材料费20.66</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劳务费9.9</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工会经费147.91</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福利费45.73</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其他交通费用4.56</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其他商品和服务支出39.93</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支出具体情况如下：</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1)工资福利支出12851.02</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121.15%。</w:t>
      </w:r>
      <w:r>
        <w:rPr>
          <w:rFonts w:hint="eastAsia" w:ascii="仿宋" w:hAnsi="仿宋" w:eastAsia="仿宋" w:cs="仿宋"/>
          <w:i w:val="0"/>
          <w:iCs w:val="0"/>
          <w:caps w:val="0"/>
          <w:color w:val="000000"/>
          <w:spacing w:val="0"/>
          <w:sz w:val="32"/>
          <w:szCs w:val="32"/>
        </w:rPr>
        <w:t>预决算</w:t>
      </w:r>
      <w:r>
        <w:rPr>
          <w:rFonts w:hint="eastAsia" w:ascii="仿宋" w:hAnsi="仿宋" w:eastAsia="仿宋" w:cs="仿宋"/>
          <w:i w:val="0"/>
          <w:iCs w:val="0"/>
          <w:caps w:val="0"/>
          <w:color w:val="000000"/>
          <w:spacing w:val="0"/>
          <w:sz w:val="32"/>
          <w:szCs w:val="32"/>
          <w:lang w:eastAsia="zh-CN"/>
        </w:rPr>
        <w:t>存有</w:t>
      </w:r>
      <w:r>
        <w:rPr>
          <w:rFonts w:hint="eastAsia" w:ascii="仿宋" w:hAnsi="仿宋" w:eastAsia="仿宋" w:cs="仿宋"/>
          <w:i w:val="0"/>
          <w:iCs w:val="0"/>
          <w:caps w:val="0"/>
          <w:color w:val="000000"/>
          <w:spacing w:val="0"/>
          <w:sz w:val="32"/>
          <w:szCs w:val="32"/>
        </w:rPr>
        <w:t>差异</w:t>
      </w:r>
      <w:r>
        <w:rPr>
          <w:rFonts w:hint="eastAsia" w:ascii="仿宋" w:hAnsi="仿宋" w:eastAsia="仿宋" w:cs="仿宋"/>
          <w:i w:val="0"/>
          <w:iCs w:val="0"/>
          <w:caps w:val="0"/>
          <w:color w:val="000000"/>
          <w:spacing w:val="0"/>
          <w:sz w:val="32"/>
          <w:szCs w:val="32"/>
          <w:lang w:eastAsia="zh-CN"/>
        </w:rPr>
        <w:t>原因是：</w:t>
      </w:r>
      <w:r>
        <w:rPr>
          <w:rFonts w:hint="eastAsia" w:ascii="仿宋" w:hAnsi="仿宋" w:eastAsia="仿宋" w:cs="仿宋"/>
          <w:color w:val="000000" w:themeColor="text1"/>
          <w:sz w:val="32"/>
          <w:szCs w:val="32"/>
          <w:highlight w:val="none"/>
          <w:lang w:val="en-US" w:eastAsia="zh-CN"/>
          <w14:textFill>
            <w14:solidFill>
              <w14:schemeClr w14:val="tx1"/>
            </w14:solidFill>
          </w14:textFill>
        </w:rPr>
        <w:t>2023年在职在编人员增加，工资晋级，相应的社保增加。</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2)商品和服务支出729.2</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86.45%。</w:t>
      </w:r>
      <w:r>
        <w:rPr>
          <w:rFonts w:hint="eastAsia" w:ascii="仿宋" w:hAnsi="仿宋" w:eastAsia="仿宋" w:cs="仿宋"/>
          <w:i w:val="0"/>
          <w:iCs w:val="0"/>
          <w:caps w:val="0"/>
          <w:color w:val="000000"/>
          <w:spacing w:val="0"/>
          <w:sz w:val="32"/>
          <w:szCs w:val="32"/>
        </w:rPr>
        <w:t>预决算</w:t>
      </w:r>
      <w:r>
        <w:rPr>
          <w:rFonts w:hint="eastAsia" w:ascii="仿宋" w:hAnsi="仿宋" w:eastAsia="仿宋" w:cs="仿宋"/>
          <w:i w:val="0"/>
          <w:iCs w:val="0"/>
          <w:caps w:val="0"/>
          <w:color w:val="000000"/>
          <w:spacing w:val="0"/>
          <w:sz w:val="32"/>
          <w:szCs w:val="32"/>
          <w:lang w:eastAsia="zh-CN"/>
        </w:rPr>
        <w:t>存有</w:t>
      </w:r>
      <w:r>
        <w:rPr>
          <w:rFonts w:hint="eastAsia" w:ascii="仿宋" w:hAnsi="仿宋" w:eastAsia="仿宋" w:cs="仿宋"/>
          <w:i w:val="0"/>
          <w:iCs w:val="0"/>
          <w:caps w:val="0"/>
          <w:color w:val="000000"/>
          <w:spacing w:val="0"/>
          <w:sz w:val="32"/>
          <w:szCs w:val="32"/>
        </w:rPr>
        <w:t>差异</w:t>
      </w:r>
      <w:r>
        <w:rPr>
          <w:rFonts w:hint="eastAsia" w:ascii="仿宋" w:hAnsi="仿宋" w:eastAsia="仿宋" w:cs="仿宋"/>
          <w:i w:val="0"/>
          <w:iCs w:val="0"/>
          <w:caps w:val="0"/>
          <w:color w:val="000000"/>
          <w:spacing w:val="0"/>
          <w:sz w:val="32"/>
          <w:szCs w:val="32"/>
          <w:lang w:eastAsia="zh-CN"/>
        </w:rPr>
        <w:t>原因是：</w:t>
      </w:r>
      <w:r>
        <w:rPr>
          <w:rFonts w:hint="eastAsia" w:ascii="仿宋" w:hAnsi="仿宋" w:eastAsia="仿宋" w:cs="仿宋"/>
          <w:color w:val="000000" w:themeColor="text1"/>
          <w:sz w:val="32"/>
          <w:szCs w:val="32"/>
          <w:highlight w:val="none"/>
          <w:lang w:val="en-US" w:eastAsia="zh-CN"/>
          <w14:textFill>
            <w14:solidFill>
              <w14:schemeClr w14:val="tx1"/>
            </w14:solidFill>
          </w14:textFill>
        </w:rPr>
        <w:t>商品服务支出中有部分金额调整至“工资福利支出”，用于支付残疾人就业保障金。</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3)对个人和家庭的补助259.62</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102.15%。</w:t>
      </w:r>
      <w:r>
        <w:rPr>
          <w:rFonts w:hint="eastAsia" w:ascii="仿宋" w:hAnsi="仿宋" w:eastAsia="仿宋" w:cs="仿宋"/>
          <w:i w:val="0"/>
          <w:iCs w:val="0"/>
          <w:caps w:val="0"/>
          <w:color w:val="000000"/>
          <w:spacing w:val="0"/>
          <w:sz w:val="32"/>
          <w:szCs w:val="32"/>
        </w:rPr>
        <w:t>预决算</w:t>
      </w:r>
      <w:r>
        <w:rPr>
          <w:rFonts w:hint="eastAsia" w:ascii="仿宋" w:hAnsi="仿宋" w:eastAsia="仿宋" w:cs="仿宋"/>
          <w:i w:val="0"/>
          <w:iCs w:val="0"/>
          <w:caps w:val="0"/>
          <w:color w:val="000000"/>
          <w:spacing w:val="0"/>
          <w:sz w:val="32"/>
          <w:szCs w:val="32"/>
          <w:lang w:eastAsia="zh-CN"/>
        </w:rPr>
        <w:t>存有</w:t>
      </w:r>
      <w:r>
        <w:rPr>
          <w:rFonts w:hint="eastAsia" w:ascii="仿宋" w:hAnsi="仿宋" w:eastAsia="仿宋" w:cs="仿宋"/>
          <w:i w:val="0"/>
          <w:iCs w:val="0"/>
          <w:caps w:val="0"/>
          <w:color w:val="000000"/>
          <w:spacing w:val="0"/>
          <w:sz w:val="32"/>
          <w:szCs w:val="32"/>
        </w:rPr>
        <w:t>差异</w:t>
      </w:r>
      <w:r>
        <w:rPr>
          <w:rFonts w:hint="eastAsia" w:ascii="仿宋" w:hAnsi="仿宋" w:eastAsia="仿宋" w:cs="仿宋"/>
          <w:i w:val="0"/>
          <w:iCs w:val="0"/>
          <w:caps w:val="0"/>
          <w:color w:val="000000"/>
          <w:spacing w:val="0"/>
          <w:sz w:val="32"/>
          <w:szCs w:val="32"/>
          <w:lang w:eastAsia="zh-CN"/>
        </w:rPr>
        <w:t>原因是：</w:t>
      </w:r>
      <w:r>
        <w:rPr>
          <w:rFonts w:hint="eastAsia" w:ascii="仿宋" w:hAnsi="仿宋" w:eastAsia="仿宋" w:cs="仿宋"/>
          <w:color w:val="000000" w:themeColor="text1"/>
          <w:sz w:val="32"/>
          <w:szCs w:val="32"/>
          <w:highlight w:val="none"/>
          <w:lang w:val="en-US" w:eastAsia="zh-CN"/>
          <w14:textFill>
            <w14:solidFill>
              <w14:schemeClr w14:val="tx1"/>
            </w14:solidFill>
          </w14:textFill>
        </w:rPr>
        <w:t>2023年退休人员增加。</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w:t>
      </w:r>
      <w:r>
        <w:rPr>
          <w:rFonts w:ascii="仿宋" w:hAnsi="仿宋" w:eastAsia="仿宋" w:cs="仿宋"/>
          <w:color w:val="000000"/>
          <w:sz w:val="32"/>
          <w:u w:color="auto"/>
        </w:rPr>
        <w:t>4)资本性支出0.0</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0%。</w:t>
      </w:r>
      <w:r>
        <w:rPr>
          <w:rFonts w:hint="eastAsia" w:ascii="仿宋" w:hAnsi="仿宋" w:eastAsia="仿宋" w:cs="仿宋"/>
          <w:i w:val="0"/>
          <w:iCs w:val="0"/>
          <w:caps w:val="0"/>
          <w:color w:val="000000"/>
          <w:spacing w:val="0"/>
          <w:sz w:val="32"/>
          <w:szCs w:val="32"/>
        </w:rPr>
        <w:t>预决算</w:t>
      </w:r>
      <w:r>
        <w:rPr>
          <w:rFonts w:hint="eastAsia" w:ascii="仿宋" w:hAnsi="仿宋" w:eastAsia="仿宋" w:cs="仿宋"/>
          <w:i w:val="0"/>
          <w:iCs w:val="0"/>
          <w:caps w:val="0"/>
          <w:color w:val="000000"/>
          <w:spacing w:val="0"/>
          <w:sz w:val="32"/>
          <w:szCs w:val="32"/>
          <w:lang w:eastAsia="zh-CN"/>
        </w:rPr>
        <w:t>存有</w:t>
      </w:r>
      <w:r>
        <w:rPr>
          <w:rFonts w:hint="eastAsia" w:ascii="仿宋" w:hAnsi="仿宋" w:eastAsia="仿宋" w:cs="仿宋"/>
          <w:i w:val="0"/>
          <w:iCs w:val="0"/>
          <w:caps w:val="0"/>
          <w:color w:val="000000"/>
          <w:spacing w:val="0"/>
          <w:sz w:val="32"/>
          <w:szCs w:val="32"/>
        </w:rPr>
        <w:t>差异</w:t>
      </w:r>
      <w:r>
        <w:rPr>
          <w:rFonts w:hint="eastAsia" w:ascii="仿宋" w:hAnsi="仿宋" w:eastAsia="仿宋" w:cs="仿宋"/>
          <w:i w:val="0"/>
          <w:iCs w:val="0"/>
          <w:caps w:val="0"/>
          <w:color w:val="000000"/>
          <w:spacing w:val="0"/>
          <w:sz w:val="32"/>
          <w:szCs w:val="32"/>
          <w:lang w:eastAsia="zh-CN"/>
        </w:rPr>
        <w:t>原因是：</w:t>
      </w:r>
      <w:r>
        <w:rPr>
          <w:rFonts w:hint="eastAsia" w:ascii="仿宋" w:hAnsi="仿宋" w:eastAsia="仿宋" w:cs="仿宋"/>
          <w:color w:val="000000" w:themeColor="text1"/>
          <w:sz w:val="32"/>
          <w:szCs w:val="32"/>
          <w:highlight w:val="none"/>
          <w:lang w:val="en-US" w:eastAsia="zh-CN"/>
          <w14:textFill>
            <w14:solidFill>
              <w14:schemeClr w14:val="tx1"/>
            </w14:solidFill>
          </w14:textFill>
        </w:rPr>
        <w:t>本单位的基本支出无资本性支出。</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四、</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度政府性基金</w:t>
      </w:r>
      <w:r>
        <w:rPr>
          <w:rFonts w:hint="eastAsia" w:ascii="黑体" w:hAnsi="黑体" w:eastAsia="黑体" w:cs="黑体"/>
          <w:color w:val="000000" w:themeColor="text1"/>
          <w:sz w:val="32"/>
          <w:szCs w:val="32"/>
          <w:highlight w:val="none"/>
          <w:lang w:val="en-US" w:eastAsia="zh-CN"/>
          <w14:textFill>
            <w14:solidFill>
              <w14:schemeClr w14:val="tx1"/>
            </w14:solidFill>
          </w14:textFill>
        </w:rPr>
        <w:t>预算</w:t>
      </w:r>
      <w:r>
        <w:rPr>
          <w:rFonts w:hint="eastAsia" w:ascii="黑体" w:hAnsi="黑体" w:eastAsia="黑体" w:cs="黑体"/>
          <w:color w:val="000000" w:themeColor="text1"/>
          <w:sz w:val="32"/>
          <w:szCs w:val="32"/>
          <w:highlight w:val="none"/>
          <w14:textFill>
            <w14:solidFill>
              <w14:schemeClr w14:val="tx1"/>
            </w14:solidFill>
          </w14:textFill>
        </w:rPr>
        <w:t>支出决算情况</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南宁市第二中学</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度政府性基金支出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增长0%。其中：基本支出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万元，项目支出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南宁市第二中学</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度政府性基金支出年初预算为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万元，支出决算为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0%</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bidi w:val="0"/>
        <w:snapToGrid/>
        <w:spacing w:line="360" w:lineRule="auto"/>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五、</w:t>
      </w:r>
      <w:r>
        <w:rPr>
          <w:rFonts w:hint="eastAsia" w:ascii="黑体" w:hAnsi="黑体" w:eastAsia="黑体" w:cs="黑体"/>
          <w:color w:val="000000" w:themeColor="text1"/>
          <w:sz w:val="32"/>
          <w:szCs w:val="32"/>
          <w:highlight w:val="none"/>
          <w:lang w:eastAsia="zh-CN"/>
          <w14:textFill>
            <w14:solidFill>
              <w14:schemeClr w14:val="tx1"/>
            </w14:solidFill>
          </w14:textFill>
        </w:rPr>
        <w:t>2023年</w:t>
      </w:r>
      <w:r>
        <w:rPr>
          <w:rFonts w:hint="eastAsia" w:ascii="黑体" w:hAnsi="黑体" w:eastAsia="黑体" w:cs="黑体"/>
          <w:color w:val="000000" w:themeColor="text1"/>
          <w:sz w:val="32"/>
          <w:szCs w:val="32"/>
          <w:highlight w:val="none"/>
          <w14:textFill>
            <w14:solidFill>
              <w14:schemeClr w14:val="tx1"/>
            </w14:solidFill>
          </w14:textFill>
        </w:rPr>
        <w:t>度国有资本经营预算支出决算情况</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南宁市第二中学</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度国有资本经营预算支出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较</w:t>
      </w:r>
      <w:r>
        <w:rPr>
          <w:rFonts w:hint="eastAsia" w:ascii="仿宋" w:hAnsi="仿宋" w:eastAsia="仿宋" w:cs="仿宋"/>
          <w:color w:val="000000" w:themeColor="text1"/>
          <w:sz w:val="32"/>
          <w:szCs w:val="32"/>
          <w:highlight w:val="none"/>
          <w:lang w:eastAsia="zh-CN"/>
          <w14:textFill>
            <w14:solidFill>
              <w14:schemeClr w14:val="tx1"/>
            </w14:solidFill>
          </w14:textFill>
        </w:rPr>
        <w:t>2022年</w:t>
      </w:r>
      <w:r>
        <w:rPr>
          <w:rFonts w:hint="eastAsia" w:ascii="仿宋" w:hAnsi="仿宋" w:eastAsia="仿宋" w:cs="仿宋"/>
          <w:color w:val="000000" w:themeColor="text1"/>
          <w:sz w:val="32"/>
          <w:szCs w:val="32"/>
          <w:highlight w:val="none"/>
          <w14:textFill>
            <w14:solidFill>
              <w14:schemeClr w14:val="tx1"/>
            </w14:solidFill>
          </w14:textFill>
        </w:rPr>
        <w:t>度决算数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增长0%。其中：基本支出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万元，项目支出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南宁市第二中学</w:t>
      </w:r>
      <w:r>
        <w:rPr>
          <w:rFonts w:ascii="仿宋" w:hAnsi="仿宋" w:eastAsia="仿宋" w:cs="仿宋"/>
          <w:color w:val="000000"/>
          <w:sz w:val="32"/>
          <w:u w:color="auto"/>
        </w:rPr>
        <w:t>202</w:t>
      </w:r>
      <w:r>
        <w:rPr>
          <w:rFonts w:hint="eastAsia" w:ascii="仿宋" w:hAnsi="仿宋" w:eastAsia="仿宋" w:cs="仿宋"/>
          <w:color w:val="000000" w:themeColor="text1"/>
          <w:sz w:val="32"/>
          <w:szCs w:val="32"/>
          <w:highlight w:val="non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14:textFill>
            <w14:solidFill>
              <w14:schemeClr w14:val="tx1"/>
            </w14:solidFill>
          </w14:textFill>
        </w:rPr>
        <w:t>年度国有资本经营预算支出年初预算为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万元，支出决算为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万元，完成年初预算的</w:t>
      </w:r>
      <w:r>
        <w:rPr>
          <w:rFonts w:ascii="仿宋" w:hAnsi="仿宋" w:eastAsia="仿宋" w:cs="仿宋"/>
          <w:color w:val="000000"/>
          <w:sz w:val="32"/>
          <w:u w:color="auto"/>
        </w:rPr>
        <w:t>0%</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bidi w:val="0"/>
        <w:snapToGrid/>
        <w:spacing w:line="360" w:lineRule="auto"/>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六、</w:t>
      </w:r>
      <w:r>
        <w:rPr>
          <w:rFonts w:hint="eastAsia" w:ascii="黑体" w:hAnsi="黑体" w:eastAsia="黑体" w:cs="黑体"/>
          <w:color w:val="000000" w:themeColor="text1"/>
          <w:sz w:val="32"/>
          <w:szCs w:val="32"/>
          <w:highlight w:val="none"/>
          <w:lang w:val="en-US" w:eastAsia="zh-CN"/>
          <w14:textFill>
            <w14:solidFill>
              <w14:schemeClr w14:val="tx1"/>
            </w14:solidFill>
          </w14:textFill>
        </w:rPr>
        <w:t>财</w:t>
      </w:r>
      <w:r>
        <w:rPr>
          <w:rFonts w:hint="eastAsia" w:ascii="黑体" w:hAnsi="黑体" w:eastAsia="黑体" w:cs="黑体"/>
          <w:color w:val="000000" w:themeColor="text1"/>
          <w:sz w:val="32"/>
          <w:szCs w:val="32"/>
          <w:highlight w:val="none"/>
          <w14:textFill>
            <w14:solidFill>
              <w14:schemeClr w14:val="tx1"/>
            </w14:solidFill>
          </w14:textFill>
        </w:rPr>
        <w:t>政拨款安排的“三公”经费支出决算情况说明</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118" w:leftChars="0" w:right="0" w:firstLine="520" w:firstLineChars="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度财政拨款安排的“三公”经费支出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预算为</w:t>
      </w:r>
      <w:r>
        <w:rPr>
          <w:rFonts w:hint="eastAsia" w:ascii="仿宋" w:hAnsi="仿宋" w:eastAsia="仿宋" w:cs="仿宋"/>
          <w:color w:val="000000" w:themeColor="text1"/>
          <w:sz w:val="32"/>
          <w:szCs w:val="32"/>
          <w:highlight w:val="none"/>
          <w14:textFill>
            <w14:solidFill>
              <w14:schemeClr w14:val="tx1"/>
            </w14:solidFill>
          </w14:textFill>
        </w:rPr>
        <w:t>3.50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万元，支出决算为</w:t>
      </w:r>
      <w:r>
        <w:rPr>
          <w:rFonts w:hint="eastAsia" w:ascii="仿宋" w:hAnsi="仿宋" w:eastAsia="仿宋" w:cs="仿宋"/>
          <w:color w:val="000000" w:themeColor="text1"/>
          <w:sz w:val="32"/>
          <w:szCs w:val="32"/>
          <w:highlight w:val="none"/>
          <w14:textFill>
            <w14:solidFill>
              <w14:schemeClr w14:val="tx1"/>
            </w14:solidFill>
          </w14:textFill>
        </w:rPr>
        <w:t>0.00万元，完成年初预算的</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，比上年</w:t>
      </w:r>
      <w:r>
        <w:rPr>
          <w:rFonts w:hint="eastAsia" w:ascii="仿宋" w:hAnsi="仿宋" w:eastAsia="仿宋" w:cs="仿宋"/>
          <w:color w:val="000000" w:themeColor="text1"/>
          <w:sz w:val="32"/>
          <w:szCs w:val="32"/>
          <w:highlight w:val="none"/>
          <w:lang w:val="en-US" w:eastAsia="zh-CN"/>
          <w14:textFill>
            <w14:solidFill>
              <w14:schemeClr w14:val="tx1"/>
            </w14:solidFill>
          </w14:textFill>
        </w:rPr>
        <w:t>决算数</w:t>
      </w:r>
      <w:r>
        <w:rPr>
          <w:rFonts w:hint="eastAsia" w:ascii="仿宋" w:hAnsi="仿宋" w:eastAsia="仿宋" w:cs="仿宋"/>
          <w:color w:val="000000" w:themeColor="text1"/>
          <w:sz w:val="32"/>
          <w:szCs w:val="32"/>
          <w:highlight w:val="none"/>
          <w14:textFill>
            <w14:solidFill>
              <w14:schemeClr w14:val="tx1"/>
            </w14:solidFill>
          </w14:textFill>
        </w:rPr>
        <w:t>0.28万元，</w:t>
      </w:r>
      <w:r>
        <w:rPr>
          <w:rFonts w:ascii="仿宋" w:hAnsi="仿宋" w:eastAsia="仿宋" w:cs="仿宋"/>
          <w:color w:val="000000"/>
          <w:sz w:val="32"/>
          <w:u w:color="auto"/>
        </w:rPr>
        <w:t>减少0.28</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下降100.00%，</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主要原因是：校车已办理报废手续，2023年无公务用车运行费支出。</w:t>
      </w:r>
      <w:r>
        <w:rPr>
          <w:rFonts w:hint="eastAsia" w:ascii="仿宋" w:hAnsi="仿宋" w:eastAsia="仿宋" w:cs="仿宋"/>
          <w:color w:val="000000" w:themeColor="text1"/>
          <w:sz w:val="32"/>
          <w:szCs w:val="32"/>
          <w:highlight w:val="none"/>
          <w14:textFill>
            <w14:solidFill>
              <w14:schemeClr w14:val="tx1"/>
            </w14:solidFill>
          </w14:textFill>
        </w:rPr>
        <w:t>其中：因公出国（境）费支出决算</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万元，公务用车购置及运行费支出决算</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万元，公务接待费支出决算</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具体情况如下：</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（一）因公出国（境）费支出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预算为</w:t>
      </w:r>
      <w:r>
        <w:rPr>
          <w:rFonts w:hint="eastAsia" w:ascii="仿宋" w:hAnsi="仿宋" w:eastAsia="仿宋" w:cs="仿宋"/>
          <w:color w:val="000000" w:themeColor="text1"/>
          <w:sz w:val="32"/>
          <w:szCs w:val="32"/>
          <w:highlight w:val="none"/>
          <w14:textFill>
            <w14:solidFill>
              <w14:schemeClr w14:val="tx1"/>
            </w14:solidFill>
          </w14:textFill>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万元，支出决算为</w:t>
      </w:r>
      <w:r>
        <w:rPr>
          <w:rFonts w:hint="eastAsia" w:ascii="仿宋" w:hAnsi="仿宋" w:eastAsia="仿宋" w:cs="仿宋"/>
          <w:color w:val="000000" w:themeColor="text1"/>
          <w:sz w:val="32"/>
          <w:szCs w:val="32"/>
          <w:highlight w:val="none"/>
          <w14:textFill>
            <w14:solidFill>
              <w14:schemeClr w14:val="tx1"/>
            </w14:solidFill>
          </w14:textFill>
        </w:rPr>
        <w:t>0.00万元，完成年初预算的</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，比上年</w:t>
      </w:r>
      <w:r>
        <w:rPr>
          <w:rFonts w:hint="eastAsia" w:ascii="仿宋" w:hAnsi="仿宋" w:eastAsia="仿宋" w:cs="仿宋"/>
          <w:color w:val="000000" w:themeColor="text1"/>
          <w:sz w:val="32"/>
          <w:szCs w:val="32"/>
          <w:highlight w:val="none"/>
          <w:lang w:val="en-US" w:eastAsia="zh-CN"/>
          <w14:textFill>
            <w14:solidFill>
              <w14:schemeClr w14:val="tx1"/>
            </w14:solidFill>
          </w14:textFill>
        </w:rPr>
        <w:t>决算数</w:t>
      </w:r>
      <w:r>
        <w:rPr>
          <w:rFonts w:hint="eastAsia" w:ascii="仿宋" w:hAnsi="仿宋" w:eastAsia="仿宋" w:cs="仿宋"/>
          <w:color w:val="000000" w:themeColor="text1"/>
          <w:sz w:val="32"/>
          <w:szCs w:val="32"/>
          <w:highlight w:val="none"/>
          <w14:textFill>
            <w14:solidFill>
              <w14:schemeClr w14:val="tx1"/>
            </w14:solidFill>
          </w14:textFill>
        </w:rPr>
        <w:t>0.00万元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增长0%</w:t>
      </w:r>
      <w:r>
        <w:rPr>
          <w:rFonts w:hint="eastAsia" w:ascii="仿宋" w:hAnsi="仿宋" w:eastAsia="仿宋" w:cs="仿宋"/>
          <w:color w:val="000000" w:themeColor="text1"/>
          <w:sz w:val="32"/>
          <w:szCs w:val="32"/>
          <w:highlight w:val="none"/>
          <w14:textFill>
            <w14:solidFill>
              <w14:schemeClr w14:val="tx1"/>
            </w14:solidFill>
          </w14:textFill>
        </w:rPr>
        <w:t>。全年使用财政拨款安排0（局、办、镇）机关、0个所属单位出国团组0个，参加其他单位组织的出国团组0个</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全年因公出国（境）团组共计</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个，累计</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人次。</w:t>
      </w:r>
      <w:r>
        <w:rPr>
          <w:rFonts w:hint="eastAsia" w:ascii="仿宋" w:hAnsi="仿宋" w:eastAsia="仿宋" w:cs="仿宋"/>
          <w:color w:val="000000" w:themeColor="text1"/>
          <w:sz w:val="32"/>
          <w:szCs w:val="32"/>
          <w:highlight w:val="none"/>
          <w:lang w:val="en-US" w:eastAsia="zh-CN"/>
          <w14:textFill>
            <w14:solidFill>
              <w14:schemeClr w14:val="tx1"/>
            </w14:solidFill>
          </w14:textFill>
        </w:rPr>
        <w:t>开支内容包括：2023年我校无因公出国（境）费支出。</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（二）公务用车购置及运行费支出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预算为</w:t>
      </w:r>
      <w:r>
        <w:rPr>
          <w:rFonts w:hint="eastAsia" w:ascii="仿宋" w:hAnsi="仿宋" w:eastAsia="仿宋" w:cs="仿宋"/>
          <w:color w:val="000000" w:themeColor="text1"/>
          <w:sz w:val="32"/>
          <w:szCs w:val="32"/>
          <w:highlight w:val="none"/>
          <w14:textFill>
            <w14:solidFill>
              <w14:schemeClr w14:val="tx1"/>
            </w14:solidFill>
          </w14:textFill>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万元，支出决算为</w:t>
      </w:r>
      <w:r>
        <w:rPr>
          <w:rFonts w:hint="eastAsia" w:ascii="仿宋" w:hAnsi="仿宋" w:eastAsia="仿宋" w:cs="仿宋"/>
          <w:color w:val="000000" w:themeColor="text1"/>
          <w:sz w:val="32"/>
          <w:szCs w:val="32"/>
          <w:highlight w:val="none"/>
          <w14:textFill>
            <w14:solidFill>
              <w14:schemeClr w14:val="tx1"/>
            </w14:solidFill>
          </w14:textFill>
        </w:rPr>
        <w:t>0.00万元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比上年</w:t>
      </w:r>
      <w:r>
        <w:rPr>
          <w:rFonts w:hint="eastAsia" w:ascii="仿宋" w:hAnsi="仿宋" w:eastAsia="仿宋" w:cs="仿宋"/>
          <w:color w:val="000000" w:themeColor="text1"/>
          <w:sz w:val="32"/>
          <w:szCs w:val="32"/>
          <w:highlight w:val="none"/>
          <w:lang w:val="en-US" w:eastAsia="zh-CN"/>
          <w14:textFill>
            <w14:solidFill>
              <w14:schemeClr w14:val="tx1"/>
            </w14:solidFill>
          </w14:textFill>
        </w:rPr>
        <w:t>决算数</w:t>
      </w:r>
      <w:r>
        <w:rPr>
          <w:rFonts w:hint="eastAsia" w:ascii="仿宋" w:hAnsi="仿宋" w:eastAsia="仿宋" w:cs="仿宋"/>
          <w:color w:val="000000" w:themeColor="text1"/>
          <w:sz w:val="32"/>
          <w:szCs w:val="32"/>
          <w:highlight w:val="none"/>
          <w14:textFill>
            <w14:solidFill>
              <w14:schemeClr w14:val="tx1"/>
            </w14:solidFill>
          </w14:textFill>
        </w:rPr>
        <w:t>0.28万元</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ascii="仿宋" w:hAnsi="仿宋" w:eastAsia="仿宋" w:cs="仿宋"/>
          <w:color w:val="000000"/>
          <w:sz w:val="32"/>
          <w:u w:color="auto"/>
        </w:rPr>
        <w:t>减少0.28</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lang w:eastAsia="zh-CN"/>
          <w14:textFill>
            <w14:solidFill>
              <w14:schemeClr w14:val="tx1"/>
            </w14:solidFill>
          </w14:textFill>
        </w:rPr>
        <w:t>下降100.00%，</w:t>
      </w:r>
      <w:r>
        <w:rPr>
          <w:rFonts w:hint="eastAsia" w:ascii="仿宋" w:hAnsi="仿宋" w:eastAsia="仿宋" w:cs="仿宋"/>
          <w:color w:val="000000" w:themeColor="text1"/>
          <w:sz w:val="32"/>
          <w:szCs w:val="32"/>
          <w:highlight w:val="none"/>
          <w14:textFill>
            <w14:solidFill>
              <w14:schemeClr w14:val="tx1"/>
            </w14:solidFill>
          </w14:textFill>
        </w:rPr>
        <w:t>其中：公务用车购置支出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val="en-US" w:eastAsia="zh-CN"/>
          <w14:textFill>
            <w14:solidFill>
              <w14:schemeClr w14:val="tx1"/>
            </w14:solidFill>
          </w14:textFill>
        </w:rPr>
        <w:t>年初预算数为</w:t>
      </w:r>
      <w:r>
        <w:rPr>
          <w:rFonts w:hint="eastAsia" w:ascii="仿宋" w:hAnsi="仿宋" w:eastAsia="仿宋" w:cs="仿宋"/>
          <w:color w:val="000000" w:themeColor="text1"/>
          <w:sz w:val="32"/>
          <w:szCs w:val="32"/>
          <w:highlight w:val="none"/>
          <w14:textFill>
            <w14:solidFill>
              <w14:schemeClr w14:val="tx1"/>
            </w14:solidFill>
          </w14:textFill>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完成年初预算的</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公务用车运行</w:t>
      </w:r>
      <w:r>
        <w:rPr>
          <w:rFonts w:hint="eastAsia" w:ascii="仿宋" w:hAnsi="仿宋" w:eastAsia="仿宋" w:cs="仿宋"/>
          <w:color w:val="000000" w:themeColor="text1"/>
          <w:sz w:val="32"/>
          <w:szCs w:val="32"/>
          <w:highlight w:val="none"/>
          <w:lang w:val="en-US" w:eastAsia="zh-CN"/>
          <w14:textFill>
            <w14:solidFill>
              <w14:schemeClr w14:val="tx1"/>
            </w14:solidFill>
          </w14:textFill>
        </w:rPr>
        <w:t>费</w:t>
      </w:r>
      <w:r>
        <w:rPr>
          <w:rFonts w:hint="eastAsia" w:ascii="仿宋" w:hAnsi="仿宋" w:eastAsia="仿宋" w:cs="仿宋"/>
          <w:color w:val="000000" w:themeColor="text1"/>
          <w:sz w:val="32"/>
          <w:szCs w:val="32"/>
          <w:highlight w:val="none"/>
          <w14:textFill>
            <w14:solidFill>
              <w14:schemeClr w14:val="tx1"/>
            </w14:solidFill>
          </w14:textFill>
        </w:rPr>
        <w:t>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hint="eastAsia" w:ascii="仿宋" w:hAnsi="仿宋" w:eastAsia="仿宋" w:cs="仿宋"/>
          <w:color w:val="000000" w:themeColor="text1"/>
          <w:sz w:val="32"/>
          <w:szCs w:val="32"/>
          <w:highlight w:val="none"/>
          <w:lang w:val="en-US" w:eastAsia="zh-CN"/>
          <w14:textFill>
            <w14:solidFill>
              <w14:schemeClr w14:val="tx1"/>
            </w14:solidFill>
          </w14:textFill>
        </w:rPr>
        <w:t>年初预算数为</w:t>
      </w:r>
      <w:r>
        <w:rPr>
          <w:rFonts w:hint="eastAsia" w:ascii="仿宋" w:hAnsi="仿宋" w:eastAsia="仿宋" w:cs="仿宋"/>
          <w:color w:val="000000" w:themeColor="text1"/>
          <w:sz w:val="32"/>
          <w:szCs w:val="32"/>
          <w:highlight w:val="none"/>
          <w14:textFill>
            <w14:solidFill>
              <w14:schemeClr w14:val="tx1"/>
            </w14:solidFill>
          </w14:textFill>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完成年初预算的</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，比上年</w:t>
      </w:r>
      <w:r>
        <w:rPr>
          <w:rFonts w:hint="eastAsia" w:ascii="仿宋" w:hAnsi="仿宋" w:eastAsia="仿宋" w:cs="仿宋"/>
          <w:color w:val="000000" w:themeColor="text1"/>
          <w:sz w:val="32"/>
          <w:szCs w:val="32"/>
          <w:highlight w:val="none"/>
          <w:lang w:val="en-US" w:eastAsia="zh-CN"/>
          <w14:textFill>
            <w14:solidFill>
              <w14:schemeClr w14:val="tx1"/>
            </w14:solidFill>
          </w14:textFill>
        </w:rPr>
        <w:t>决算数</w:t>
      </w:r>
      <w:r>
        <w:rPr>
          <w:rFonts w:hint="eastAsia" w:ascii="仿宋" w:hAnsi="仿宋" w:eastAsia="仿宋" w:cs="仿宋"/>
          <w:color w:val="000000" w:themeColor="text1"/>
          <w:sz w:val="32"/>
          <w:szCs w:val="32"/>
          <w:highlight w:val="none"/>
          <w14:textFill>
            <w14:solidFill>
              <w14:schemeClr w14:val="tx1"/>
            </w14:solidFill>
          </w14:textFill>
        </w:rPr>
        <w:t>减少0.28万元。</w:t>
      </w:r>
      <w:r>
        <w:rPr>
          <w:rFonts w:hint="eastAsia" w:ascii="仿宋" w:hAnsi="仿宋" w:eastAsia="仿宋" w:cs="仿宋"/>
          <w:color w:val="000000" w:themeColor="text1"/>
          <w:sz w:val="32"/>
          <w:szCs w:val="32"/>
          <w:highlight w:val="none"/>
          <w:lang w:val="en-US" w:eastAsia="zh-CN"/>
          <w14:textFill>
            <w14:solidFill>
              <w14:schemeClr w14:val="tx1"/>
            </w14:solidFill>
          </w14:textFill>
        </w:rPr>
        <w:t>原因是：校车已办理报废手续，2023年无公务用车运行费支出</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本级</w:t>
      </w:r>
      <w:r>
        <w:rPr>
          <w:rFonts w:hint="eastAsia" w:ascii="仿宋" w:hAnsi="仿宋" w:eastAsia="仿宋" w:cs="仿宋"/>
          <w:color w:val="000000" w:themeColor="text1"/>
          <w:sz w:val="32"/>
          <w:szCs w:val="32"/>
          <w:highlight w:val="none"/>
          <w14:textFill>
            <w14:solidFill>
              <w14:schemeClr w14:val="tx1"/>
            </w14:solidFill>
          </w14:textFill>
        </w:rPr>
        <w:t>及所属单位开支财政拨款的公务用车保有量为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辆，全年运行费支出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（三）公务接待费支出</w:t>
      </w:r>
      <w:r>
        <w:rPr>
          <w:rFonts w:hint="eastAsia" w:ascii="仿宋" w:hAnsi="仿宋" w:eastAsia="仿宋" w:cs="仿宋"/>
          <w:color w:val="000000" w:themeColor="text1"/>
          <w:sz w:val="32"/>
          <w:szCs w:val="32"/>
          <w:highlight w:val="none"/>
          <w:lang w:val="en-US" w:eastAsia="zh-CN"/>
          <w14:textFill>
            <w14:solidFill>
              <w14:schemeClr w14:val="tx1"/>
            </w14:solidFill>
          </w14:textFill>
        </w:rPr>
        <w:t>预算为</w:t>
      </w:r>
      <w:r>
        <w:rPr>
          <w:rFonts w:hint="eastAsia" w:ascii="仿宋" w:hAnsi="仿宋" w:eastAsia="仿宋" w:cs="仿宋"/>
          <w:color w:val="000000" w:themeColor="text1"/>
          <w:sz w:val="32"/>
          <w:szCs w:val="32"/>
          <w:highlight w:val="none"/>
          <w14:textFill>
            <w14:solidFill>
              <w14:schemeClr w14:val="tx1"/>
            </w14:solidFill>
          </w14:textFill>
        </w:rPr>
        <w:t>3.50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万元，支出决算为</w:t>
      </w:r>
      <w:r>
        <w:rPr>
          <w:rFonts w:hint="eastAsia" w:ascii="仿宋" w:hAnsi="仿宋" w:eastAsia="仿宋" w:cs="仿宋"/>
          <w:color w:val="000000" w:themeColor="text1"/>
          <w:sz w:val="32"/>
          <w:szCs w:val="32"/>
          <w:highlight w:val="none"/>
          <w14:textFill>
            <w14:solidFill>
              <w14:schemeClr w14:val="tx1"/>
            </w14:solidFill>
          </w14:textFill>
        </w:rPr>
        <w:t>0.00万元，完成年初预算的</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，比上年</w:t>
      </w:r>
      <w:r>
        <w:rPr>
          <w:rFonts w:hint="eastAsia" w:ascii="仿宋" w:hAnsi="仿宋" w:eastAsia="仿宋" w:cs="仿宋"/>
          <w:color w:val="000000" w:themeColor="text1"/>
          <w:sz w:val="32"/>
          <w:szCs w:val="32"/>
          <w:highlight w:val="none"/>
          <w:lang w:val="en-US" w:eastAsia="zh-CN"/>
          <w14:textFill>
            <w14:solidFill>
              <w14:schemeClr w14:val="tx1"/>
            </w14:solidFill>
          </w14:textFill>
        </w:rPr>
        <w:t>决算数</w:t>
      </w:r>
      <w:r>
        <w:rPr>
          <w:rFonts w:hint="eastAsia" w:ascii="仿宋" w:hAnsi="仿宋" w:eastAsia="仿宋" w:cs="仿宋"/>
          <w:color w:val="000000" w:themeColor="text1"/>
          <w:sz w:val="32"/>
          <w:szCs w:val="32"/>
          <w:highlight w:val="none"/>
          <w14:textFill>
            <w14:solidFill>
              <w14:schemeClr w14:val="tx1"/>
            </w14:solidFill>
          </w14:textFill>
        </w:rPr>
        <w:t>0.00万元，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主要原因是：我校严格贯彻落实厉行节约反对浪费精神，加强公务接待管理，严格控制相关费用，未发生相应支出。</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七、其他重要事项情况说明</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（一）机关运行经费支出情况说明</w:t>
      </w:r>
    </w:p>
    <w:p>
      <w:pPr>
        <w:keepNext w:val="0"/>
        <w:keepLines w:val="0"/>
        <w:pageBreakBefore w:val="0"/>
        <w:widowControl w:val="0"/>
        <w:suppressLineNumbers w:val="0"/>
        <w:kinsoku/>
        <w:wordWrap/>
        <w:overflowPunct/>
        <w:topLinePunct w:val="0"/>
        <w:bidi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本部门</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度机关运行经费支出</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万元（与部门决算中行政单位和参照公务员法管理事业单位一般公共预算财政拨款基本支出中公用经费之和一致），比年初预算数</w:t>
      </w:r>
      <w:r>
        <w:rPr>
          <w:rFonts w:ascii="仿宋" w:hAnsi="仿宋" w:eastAsia="仿宋" w:cs="仿宋"/>
          <w:color w:val="000000"/>
          <w:sz w:val="32"/>
          <w:u w:color="auto"/>
        </w:rPr>
        <w:t>减少</w:t>
      </w:r>
      <w:r>
        <w:rPr>
          <w:rFonts w:hint="eastAsia" w:ascii="仿宋" w:hAnsi="仿宋" w:eastAsia="仿宋" w:cs="仿宋"/>
          <w:color w:val="000000"/>
          <w:sz w:val="32"/>
          <w:u w:color="auto"/>
          <w:lang w:eastAsia="zh"/>
          <w:woUserID w:val="1"/>
        </w:rPr>
        <w:t>0</w:t>
      </w:r>
      <w:r>
        <w:rPr>
          <w:rFonts w:hint="eastAsia" w:ascii="仿宋" w:hAnsi="仿宋" w:eastAsia="仿宋" w:cs="仿宋"/>
          <w:color w:val="000000" w:themeColor="text1"/>
          <w:sz w:val="32"/>
          <w:szCs w:val="32"/>
          <w:highlight w:val="none"/>
          <w14:textFill>
            <w14:solidFill>
              <w14:schemeClr w14:val="tx1"/>
            </w14:solidFill>
          </w14:textFill>
        </w:rPr>
        <w:t>万元，比上年决算数</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万元，</w:t>
      </w:r>
      <w:r>
        <w:rPr>
          <w:rFonts w:ascii="仿宋" w:hAnsi="仿宋" w:eastAsia="仿宋" w:cs="仿宋"/>
          <w:color w:val="000000"/>
          <w:sz w:val="32"/>
          <w:u w:color="auto"/>
        </w:rPr>
        <w:t>增加0.00</w:t>
      </w:r>
      <w:r>
        <w:rPr>
          <w:rFonts w:hint="eastAsia" w:ascii="仿宋" w:hAnsi="仿宋" w:eastAsia="仿宋" w:cs="仿宋"/>
          <w:color w:val="000000" w:themeColor="text1"/>
          <w:sz w:val="32"/>
          <w:szCs w:val="32"/>
          <w:highlight w:val="none"/>
          <w:lang w:val="en-US" w:eastAsia="zh-CN"/>
          <w14:textFill>
            <w14:solidFill>
              <w14:schemeClr w14:val="tx1"/>
            </w14:solidFill>
          </w14:textFill>
        </w:rPr>
        <w:t>万元，</w:t>
      </w:r>
      <w:r>
        <w:rPr>
          <w:rFonts w:hint="eastAsia" w:ascii="仿宋" w:hAnsi="仿宋" w:eastAsia="仿宋" w:cs="仿宋"/>
          <w:color w:val="000000" w:themeColor="text1"/>
          <w:sz w:val="32"/>
          <w:szCs w:val="32"/>
          <w:highlight w:val="none"/>
          <w14:textFill>
            <w14:solidFill>
              <w14:schemeClr w14:val="tx1"/>
            </w14:solidFill>
          </w14:textFill>
        </w:rPr>
        <w:t>增长0%。</w:t>
      </w: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主要原因是：本单位无机关运行经费。</w:t>
      </w:r>
    </w:p>
    <w:p>
      <w:pPr>
        <w:keepNext w:val="0"/>
        <w:keepLines w:val="0"/>
        <w:pageBreakBefore w:val="0"/>
        <w:widowControl w:val="0"/>
        <w:kinsoku/>
        <w:wordWrap/>
        <w:overflowPunct/>
        <w:topLinePunct w:val="0"/>
        <w:bidi w:val="0"/>
        <w:snapToGrid/>
        <w:spacing w:line="360" w:lineRule="auto"/>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（二）政府采购支出情况说明</w:t>
      </w:r>
    </w:p>
    <w:p>
      <w:pPr>
        <w:spacing w:line="360" w:lineRule="auto"/>
        <w:ind w:firstLine="640" w:firstLineChars="200"/>
        <w:jc w:val="left"/>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本部门</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度政府采购支出总额</w:t>
      </w:r>
      <w:r>
        <w:rPr>
          <w:rFonts w:ascii="仿宋" w:hAnsi="仿宋" w:eastAsia="仿宋" w:cs="仿宋"/>
          <w:color w:val="000000"/>
          <w:sz w:val="32"/>
          <w:u w:color="auto"/>
        </w:rPr>
        <w:t>2463.35</w:t>
      </w:r>
      <w:r>
        <w:rPr>
          <w:rFonts w:hint="eastAsia" w:ascii="仿宋" w:hAnsi="仿宋" w:eastAsia="仿宋" w:cs="仿宋"/>
          <w:color w:val="000000" w:themeColor="text1"/>
          <w:sz w:val="32"/>
          <w:szCs w:val="32"/>
          <w:highlight w:val="none"/>
          <w14:textFill>
            <w14:solidFill>
              <w14:schemeClr w14:val="tx1"/>
            </w14:solidFill>
          </w14:textFill>
        </w:rPr>
        <w:t>万元，其中：政府采购货物支出</w:t>
      </w:r>
      <w:r>
        <w:rPr>
          <w:rFonts w:ascii="仿宋" w:hAnsi="仿宋" w:eastAsia="仿宋" w:cs="仿宋"/>
          <w:color w:val="000000"/>
          <w:sz w:val="32"/>
          <w:u w:color="auto"/>
        </w:rPr>
        <w:t>759.72</w:t>
      </w:r>
      <w:r>
        <w:rPr>
          <w:rFonts w:hint="eastAsia" w:ascii="仿宋" w:hAnsi="仿宋" w:eastAsia="仿宋" w:cs="仿宋"/>
          <w:color w:val="000000" w:themeColor="text1"/>
          <w:sz w:val="32"/>
          <w:szCs w:val="32"/>
          <w:highlight w:val="none"/>
          <w14:textFill>
            <w14:solidFill>
              <w14:schemeClr w14:val="tx1"/>
            </w14:solidFill>
          </w14:textFill>
        </w:rPr>
        <w:t>万元、政府采购工程支出</w:t>
      </w:r>
      <w:r>
        <w:rPr>
          <w:rFonts w:ascii="仿宋" w:hAnsi="仿宋" w:eastAsia="仿宋" w:cs="仿宋"/>
          <w:color w:val="000000"/>
          <w:sz w:val="32"/>
          <w:u w:color="auto"/>
        </w:rPr>
        <w:t>654.16</w:t>
      </w:r>
      <w:r>
        <w:rPr>
          <w:rFonts w:hint="eastAsia" w:ascii="仿宋" w:hAnsi="仿宋" w:eastAsia="仿宋" w:cs="仿宋"/>
          <w:color w:val="000000" w:themeColor="text1"/>
          <w:sz w:val="32"/>
          <w:szCs w:val="32"/>
          <w:highlight w:val="none"/>
          <w14:textFill>
            <w14:solidFill>
              <w14:schemeClr w14:val="tx1"/>
            </w14:solidFill>
          </w14:textFill>
        </w:rPr>
        <w:t>万元、政府采购服务支出</w:t>
      </w:r>
      <w:r>
        <w:rPr>
          <w:rFonts w:ascii="仿宋" w:hAnsi="仿宋" w:eastAsia="仿宋" w:cs="仿宋"/>
          <w:color w:val="000000"/>
          <w:sz w:val="32"/>
          <w:u w:color="auto"/>
        </w:rPr>
        <w:t>1049.47</w:t>
      </w:r>
      <w:r>
        <w:rPr>
          <w:rFonts w:hint="eastAsia" w:ascii="仿宋" w:hAnsi="仿宋" w:eastAsia="仿宋" w:cs="仿宋"/>
          <w:color w:val="000000" w:themeColor="text1"/>
          <w:sz w:val="32"/>
          <w:szCs w:val="32"/>
          <w:highlight w:val="none"/>
          <w14:textFill>
            <w14:solidFill>
              <w14:schemeClr w14:val="tx1"/>
            </w14:solidFill>
          </w14:textFill>
        </w:rPr>
        <w:t>万元。授予中小企业合同金额</w:t>
      </w:r>
      <w:r>
        <w:rPr>
          <w:rFonts w:ascii="仿宋" w:hAnsi="仿宋" w:eastAsia="仿宋" w:cs="仿宋"/>
          <w:color w:val="000000"/>
          <w:sz w:val="32"/>
          <w:u w:color="auto"/>
        </w:rPr>
        <w:t>2463.35</w:t>
      </w:r>
      <w:r>
        <w:rPr>
          <w:rFonts w:hint="eastAsia" w:ascii="仿宋" w:hAnsi="仿宋" w:eastAsia="仿宋" w:cs="仿宋"/>
          <w:color w:val="000000" w:themeColor="text1"/>
          <w:sz w:val="32"/>
          <w:szCs w:val="32"/>
          <w:highlight w:val="none"/>
          <w14:textFill>
            <w14:solidFill>
              <w14:schemeClr w14:val="tx1"/>
            </w14:solidFill>
          </w14:textFill>
        </w:rPr>
        <w:t>万元，占政府采购支出总额的</w:t>
      </w:r>
      <w:r>
        <w:rPr>
          <w:rFonts w:ascii="仿宋" w:hAnsi="仿宋" w:eastAsia="仿宋" w:cs="仿宋"/>
          <w:color w:val="000000"/>
          <w:sz w:val="32"/>
          <w:u w:color="auto"/>
        </w:rPr>
        <w:t>100.00%</w:t>
      </w:r>
      <w:r>
        <w:rPr>
          <w:rFonts w:hint="eastAsia" w:ascii="仿宋" w:hAnsi="仿宋" w:eastAsia="仿宋" w:cs="仿宋"/>
          <w:color w:val="000000" w:themeColor="text1"/>
          <w:sz w:val="32"/>
          <w:szCs w:val="32"/>
          <w:highlight w:val="none"/>
          <w14:textFill>
            <w14:solidFill>
              <w14:schemeClr w14:val="tx1"/>
            </w14:solidFill>
          </w14:textFill>
        </w:rPr>
        <w:t>，其中：授予小微企业合同金额</w:t>
      </w:r>
      <w:r>
        <w:rPr>
          <w:rFonts w:ascii="仿宋" w:hAnsi="仿宋" w:eastAsia="仿宋" w:cs="仿宋"/>
          <w:color w:val="000000"/>
          <w:sz w:val="32"/>
          <w:u w:color="auto"/>
        </w:rPr>
        <w:t>1383.38</w:t>
      </w:r>
      <w:r>
        <w:rPr>
          <w:rFonts w:hint="eastAsia" w:ascii="仿宋" w:hAnsi="仿宋" w:eastAsia="仿宋" w:cs="仿宋"/>
          <w:color w:val="000000" w:themeColor="text1"/>
          <w:sz w:val="32"/>
          <w:szCs w:val="32"/>
          <w:highlight w:val="none"/>
          <w14:textFill>
            <w14:solidFill>
              <w14:schemeClr w14:val="tx1"/>
            </w14:solidFill>
          </w14:textFill>
        </w:rPr>
        <w:t>万元，占授予中小企业合同金额的</w:t>
      </w:r>
      <w:r>
        <w:rPr>
          <w:rFonts w:ascii="仿宋" w:hAnsi="仿宋" w:eastAsia="仿宋" w:cs="仿宋"/>
          <w:color w:val="000000"/>
          <w:sz w:val="32"/>
          <w:u w:color="auto"/>
        </w:rPr>
        <w:t>56.16%</w:t>
      </w:r>
      <w:r>
        <w:rPr>
          <w:rFonts w:hint="eastAsia" w:ascii="仿宋" w:hAnsi="仿宋" w:eastAsia="仿宋" w:cs="仿宋"/>
          <w:color w:val="000000" w:themeColor="text1"/>
          <w:sz w:val="32"/>
          <w:szCs w:val="32"/>
          <w:highlight w:val="none"/>
          <w14:textFill>
            <w14:solidFill>
              <w14:schemeClr w14:val="tx1"/>
            </w14:solidFill>
          </w14:textFill>
        </w:rPr>
        <w:t>。</w:t>
      </w:r>
      <w:r>
        <w:rPr>
          <w:rFonts w:hint="eastAsia" w:ascii="仿宋" w:hAnsi="仿宋" w:eastAsia="仿宋" w:cs="仿宋"/>
          <w:color w:val="000000" w:themeColor="text1"/>
          <w:kern w:val="0"/>
          <w:sz w:val="32"/>
          <w:szCs w:val="32"/>
          <w14:textFill>
            <w14:solidFill>
              <w14:schemeClr w14:val="tx1"/>
            </w14:solidFill>
          </w14:textFill>
        </w:rPr>
        <w:t>货物采购授予中小企业合同金额占货物支出金额的100%；工程采购授予中小企业合同金额占工程支出金额的100%；服务采购授予中小企业合同金额占服务支出金额的100%。</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（三）国有资产占用情况说明</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截至</w:t>
      </w:r>
      <w:r>
        <w:rPr>
          <w:rFonts w:hint="eastAsia" w:ascii="仿宋" w:hAnsi="仿宋" w:eastAsia="仿宋" w:cs="仿宋"/>
          <w:color w:val="000000" w:themeColor="text1"/>
          <w:sz w:val="32"/>
          <w:szCs w:val="32"/>
          <w:highlight w:val="none"/>
          <w:lang w:eastAsia="zh-CN"/>
          <w14:textFill>
            <w14:solidFill>
              <w14:schemeClr w14:val="tx1"/>
            </w14:solidFill>
          </w14:textFill>
        </w:rPr>
        <w:t>2023年</w:t>
      </w:r>
      <w:r>
        <w:rPr>
          <w:rFonts w:hint="eastAsia" w:ascii="仿宋" w:hAnsi="仿宋" w:eastAsia="仿宋" w:cs="仿宋"/>
          <w:color w:val="000000" w:themeColor="text1"/>
          <w:sz w:val="32"/>
          <w:szCs w:val="32"/>
          <w:highlight w:val="none"/>
          <w14:textFill>
            <w14:solidFill>
              <w14:schemeClr w14:val="tx1"/>
            </w14:solidFill>
          </w14:textFill>
        </w:rPr>
        <w:t>12月31日，本部门共有车辆</w:t>
      </w:r>
      <w:r>
        <w:rPr>
          <w:rFonts w:ascii="仿宋" w:hAnsi="仿宋" w:eastAsia="仿宋" w:cs="仿宋"/>
          <w:color w:val="000000"/>
          <w:sz w:val="32"/>
          <w:u w:color="auto"/>
        </w:rPr>
        <w:t>1.00</w:t>
      </w:r>
      <w:r>
        <w:rPr>
          <w:rFonts w:hint="eastAsia" w:ascii="仿宋" w:hAnsi="仿宋" w:eastAsia="仿宋" w:cs="仿宋"/>
          <w:color w:val="000000" w:themeColor="text1"/>
          <w:sz w:val="32"/>
          <w:szCs w:val="32"/>
          <w:highlight w:val="none"/>
          <w14:textFill>
            <w14:solidFill>
              <w14:schemeClr w14:val="tx1"/>
            </w14:solidFill>
          </w14:textFill>
        </w:rPr>
        <w:t>辆，其中：副部（省）级及以上领导用车</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辆、主要负责人用车</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辆</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机要通信用车</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辆、应急保障用车</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辆、执法执勤用车</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辆、特种专业技术用车</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辆、其他用车</w:t>
      </w:r>
      <w:r>
        <w:rPr>
          <w:rFonts w:ascii="仿宋" w:hAnsi="仿宋" w:eastAsia="仿宋" w:cs="仿宋"/>
          <w:color w:val="000000"/>
          <w:sz w:val="32"/>
          <w:u w:color="auto"/>
        </w:rPr>
        <w:t>1.00</w:t>
      </w:r>
      <w:r>
        <w:rPr>
          <w:rFonts w:hint="eastAsia" w:ascii="仿宋" w:hAnsi="仿宋" w:eastAsia="仿宋" w:cs="仿宋"/>
          <w:color w:val="000000" w:themeColor="text1"/>
          <w:sz w:val="32"/>
          <w:szCs w:val="32"/>
          <w:highlight w:val="none"/>
          <w14:textFill>
            <w14:solidFill>
              <w14:schemeClr w14:val="tx1"/>
            </w14:solidFill>
          </w14:textFill>
        </w:rPr>
        <w:t>辆；单位单价100万元（含）以上设备（不含车辆）</w:t>
      </w:r>
      <w:r>
        <w:rPr>
          <w:rFonts w:ascii="仿宋" w:hAnsi="仿宋" w:eastAsia="仿宋" w:cs="仿宋"/>
          <w:color w:val="000000"/>
          <w:sz w:val="32"/>
          <w:u w:color="auto"/>
        </w:rPr>
        <w:t>0.00</w:t>
      </w:r>
      <w:r>
        <w:rPr>
          <w:rFonts w:hint="eastAsia" w:ascii="仿宋" w:hAnsi="仿宋" w:eastAsia="仿宋" w:cs="仿宋"/>
          <w:color w:val="000000" w:themeColor="text1"/>
          <w:sz w:val="32"/>
          <w:szCs w:val="32"/>
          <w:highlight w:val="none"/>
          <w14:textFill>
            <w14:solidFill>
              <w14:schemeClr w14:val="tx1"/>
            </w14:solidFill>
          </w14:textFill>
        </w:rPr>
        <w:t>台（套）。</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（四）预算绩效管理工作开展情况</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1.</w:t>
      </w:r>
      <w:r>
        <w:rPr>
          <w:rFonts w:eastAsia="仿宋_GB2312"/>
          <w:kern w:val="0"/>
          <w:sz w:val="32"/>
          <w:szCs w:val="32"/>
          <w:highlight w:val="none"/>
        </w:rPr>
        <w:t>绩效自评情况</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我部门根据设定的绩效目标，组织对2023年度43个一般公共预算项目支出全面开展绩效自评，共涉及资金3088.43万元，占一般公共预算项目支出的100%。组织对2023年度0个政府性基金预算项目支出全面开展绩效自评，共涉及资金0万元，占政府性基金预算项目支出的0%。组织对2023年度0个国有资本经营预算项目支出全面开展绩效自评，共涉及资金0万元，占国有资本经营预算项目支出的0%。</w:t>
      </w:r>
    </w:p>
    <w:p>
      <w:pPr>
        <w:keepNext w:val="0"/>
        <w:keepLines w:val="0"/>
        <w:pageBreakBefore w:val="0"/>
        <w:widowControl w:val="0"/>
        <w:numPr>
          <w:ilvl w:val="0"/>
          <w:numId w:val="1"/>
        </w:numPr>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经我部门对照设定的绩效目标自评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bidi w:val="0"/>
        <w:snapToGrid/>
        <w:spacing w:line="360" w:lineRule="auto"/>
        <w:ind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个项目评为一等，占项目总额比例74.42%；11个项目评为二等，占项目总额比例25.58%；0个项目评为三等，占项目总额比例0%；0个项目评为四等，占项目总额比例0%。自评发现的主要问题及原因：一是实际采购未能按计划进行；二是年底完成采购，因财政资金紧张未批复申请的经费，未能支付。下一步改进措施：加强制度执行有效性，强化绩效管理意识，提升绩效目标编制水平。</w:t>
      </w:r>
    </w:p>
    <w:p>
      <w:pPr>
        <w:keepNext w:val="0"/>
        <w:keepLines w:val="0"/>
        <w:pageBreakBefore w:val="0"/>
        <w:widowControl w:val="0"/>
        <w:numPr>
          <w:ilvl w:val="0"/>
          <w:numId w:val="1"/>
        </w:numPr>
        <w:kinsoku/>
        <w:wordWrap/>
        <w:overflowPunct/>
        <w:topLinePunct w:val="0"/>
        <w:bidi w:val="0"/>
        <w:snapToGrid/>
        <w:spacing w:line="360" w:lineRule="auto"/>
        <w:ind w:left="0" w:leftChars="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部分重点项目绩效自评情况</w:t>
      </w:r>
    </w:p>
    <w:p>
      <w:pPr>
        <w:keepNext w:val="0"/>
        <w:keepLines w:val="0"/>
        <w:pageBreakBefore w:val="0"/>
        <w:widowControl w:val="0"/>
        <w:numPr>
          <w:ilvl w:val="0"/>
          <w:numId w:val="0"/>
        </w:numPr>
        <w:kinsoku/>
        <w:wordWrap/>
        <w:overflowPunct/>
        <w:topLinePunct w:val="0"/>
        <w:bidi w:val="0"/>
        <w:snapToGrid/>
        <w:spacing w:line="360" w:lineRule="auto"/>
        <w:ind w:left="0" w:leftChars="0" w:firstLine="640" w:firstLineChars="200"/>
        <w:jc w:val="lef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南宁市第二中学凤岭校区学生宿舍水网系统改造及安全隐患排查升级改造(外部水网)，预算金额：80万元，资金来源：财政专户管理资金收入80万。（一）年度绩效目标：保障学生宿舍热水供应，做好校园后勤保障工作。（二）年度绩效指标：(1)产出指标其中：1.数量指标；项目完成数量1项；2.质量指标：项目完成质量合格；3.时效指标：2023年12月之前完成；4.成本指标：水网系统改造费用≤80万元。（2）效益指标其中：1.社会效益指标：受益学生人数≥800人，水网系统使用≥10年；（3）满意度指标：师生满意度90%。</w:t>
      </w:r>
    </w:p>
    <w:p>
      <w:pPr>
        <w:keepNext w:val="0"/>
        <w:keepLines w:val="0"/>
        <w:pageBreakBefore w:val="0"/>
        <w:widowControl w:val="0"/>
        <w:numPr>
          <w:ilvl w:val="0"/>
          <w:numId w:val="1"/>
        </w:numPr>
        <w:kinsoku/>
        <w:wordWrap/>
        <w:overflowPunct/>
        <w:topLinePunct w:val="0"/>
        <w:bidi w:val="0"/>
        <w:snapToGrid/>
        <w:spacing w:line="360" w:lineRule="auto"/>
        <w:ind w:left="0" w:leftChars="0" w:firstLine="640" w:firstLineChars="200"/>
        <w:jc w:val="left"/>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组织对本部门整体支出开展绩效自评</w:t>
      </w:r>
    </w:p>
    <w:p>
      <w:pPr>
        <w:keepNext w:val="0"/>
        <w:keepLines w:val="0"/>
        <w:pageBreakBefore w:val="0"/>
        <w:widowControl w:val="0"/>
        <w:numPr>
          <w:ilvl w:val="0"/>
          <w:numId w:val="0"/>
        </w:numPr>
        <w:kinsoku/>
        <w:wordWrap/>
        <w:overflowPunct/>
        <w:topLinePunct w:val="0"/>
        <w:bidi w:val="0"/>
        <w:snapToGrid/>
        <w:spacing w:line="360" w:lineRule="auto"/>
        <w:ind w:left="0" w:leftChars="0" w:firstLine="640" w:firstLineChars="200"/>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我部门未开展部门整体支出绩效自评，原因为：本部</w:t>
      </w:r>
      <w:r>
        <w:rPr>
          <w:rFonts w:hint="eastAsia" w:ascii="仿宋" w:hAnsi="仿宋" w:eastAsia="仿宋" w:cs="仿宋"/>
          <w:color w:val="000000" w:themeColor="text1"/>
          <w:sz w:val="32"/>
          <w:szCs w:val="32"/>
          <w:highlight w:val="none"/>
          <w:lang w:val="en-US" w:eastAsia="zh"/>
          <w14:textFill>
            <w14:solidFill>
              <w14:schemeClr w14:val="tx1"/>
            </w14:solidFill>
          </w14:textFill>
          <w:woUserID w:val="1"/>
        </w:rPr>
        <w:t>门</w:t>
      </w:r>
      <w:r>
        <w:rPr>
          <w:rFonts w:hint="eastAsia" w:ascii="仿宋" w:hAnsi="仿宋" w:eastAsia="仿宋" w:cs="仿宋"/>
          <w:color w:val="000000" w:themeColor="text1"/>
          <w:sz w:val="32"/>
          <w:szCs w:val="32"/>
          <w:highlight w:val="none"/>
          <w:lang w:val="en-US" w:eastAsia="zh-CN"/>
          <w14:textFill>
            <w14:solidFill>
              <w14:schemeClr w14:val="tx1"/>
            </w14:solidFill>
          </w14:textFill>
        </w:rPr>
        <w:t>未被列入部门整体支出绩效自评范围。</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2.</w:t>
      </w:r>
      <w:r>
        <w:rPr>
          <w:rFonts w:hint="eastAsia" w:eastAsia="仿宋_GB2312"/>
          <w:kern w:val="0"/>
          <w:sz w:val="32"/>
          <w:szCs w:val="32"/>
          <w:highlight w:val="none"/>
        </w:rPr>
        <w:t>部门评价情况</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640" w:firstLineChars="200"/>
        <w:jc w:val="left"/>
        <w:textAlignment w:val="auto"/>
        <w:rPr>
          <w:rFonts w:hint="eastAsia" w:ascii="仿宋" w:hAnsi="仿宋" w:eastAsia="仿宋" w:cs="仿宋"/>
          <w:color w:val="000000" w:themeColor="text1"/>
          <w:kern w:val="2"/>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2"/>
          <w:sz w:val="32"/>
          <w:szCs w:val="32"/>
          <w:highlight w:val="none"/>
          <w:lang w:val="en-US" w:eastAsia="zh-CN"/>
          <w14:textFill>
            <w14:solidFill>
              <w14:schemeClr w14:val="tx1"/>
            </w14:solidFill>
          </w14:textFill>
        </w:rPr>
        <w:t>我部门未开展部门评价。</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w:t>
      </w:r>
      <w:r>
        <w:rPr>
          <w:rFonts w:hint="eastAsia" w:ascii="仿宋" w:hAnsi="仿宋" w:eastAsia="仿宋" w:cs="仿宋"/>
          <w:color w:val="000000" w:themeColor="text1"/>
          <w:sz w:val="32"/>
          <w:szCs w:val="32"/>
          <w:highlight w:val="none"/>
          <w14:textFill>
            <w14:solidFill>
              <w14:schemeClr w14:val="tx1"/>
            </w14:solidFill>
          </w14:textFill>
        </w:rPr>
        <w:t>财政评价情况。</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default" w:ascii="仿宋" w:hAnsi="仿宋" w:eastAsia="仿宋" w:cs="仿宋"/>
          <w:color w:val="000000" w:themeColor="text1"/>
          <w:sz w:val="32"/>
          <w:szCs w:val="32"/>
          <w:highlight w:val="none"/>
          <w:lang w:val="en-US" w:eastAsia="zh-CN"/>
          <w14:textFill>
            <w14:solidFill>
              <w14:schemeClr w14:val="tx1"/>
            </w14:solidFill>
          </w14:textFill>
        </w:rPr>
        <w:t>2023年度我部门没有项目纳入财政评价。</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hint="default" w:ascii="仿宋" w:hAnsi="仿宋" w:eastAsia="仿宋" w:cs="仿宋"/>
          <w:color w:val="000000" w:themeColor="text1"/>
          <w:kern w:val="2"/>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bidi w:val="0"/>
        <w:snapToGrid/>
        <w:spacing w:line="360" w:lineRule="auto"/>
        <w:jc w:val="center"/>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第四部分 名词解释</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一、财政拨款收入：指</w:t>
      </w:r>
      <w:r>
        <w:rPr>
          <w:rFonts w:ascii="仿宋" w:hAnsi="仿宋" w:eastAsia="仿宋" w:cs="仿宋"/>
          <w:color w:val="000000"/>
          <w:sz w:val="32"/>
          <w:u w:color="auto"/>
        </w:rPr>
        <w:t>南宁市财政部门当年拨付的资金。</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二、事业收入：指事业单位开展专业业务活动及辅助活动所取得的收入。</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三、经营收入：指事业单位在专业业务活动及其辅助活动之外开展非独立核算经营活动取得的收入。</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四、其他收入：指除上述“财政拨款收入”“事业收入”“经营收入”等以外的收入。</w:t>
      </w:r>
    </w:p>
    <w:p>
      <w:pPr>
        <w:keepNext w:val="0"/>
        <w:keepLines w:val="0"/>
        <w:pageBreakBefore w:val="0"/>
        <w:widowControl w:val="0"/>
        <w:kinsoku/>
        <w:wordWrap/>
        <w:overflowPunct/>
        <w:topLinePunct w:val="0"/>
        <w:bidi w:val="0"/>
        <w:snapToGrid/>
        <w:spacing w:line="360" w:lineRule="auto"/>
        <w:ind w:firstLine="640" w:firstLineChars="200"/>
        <w:jc w:val="left"/>
        <w:textAlignment w:val="auto"/>
        <w:rPr>
          <w:rFonts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五、</w:t>
      </w:r>
      <w:r>
        <w:rPr>
          <w:rFonts w:eastAsia="仿宋_GB2312"/>
          <w:sz w:val="32"/>
          <w:szCs w:val="32"/>
        </w:rPr>
        <w:t>使用非财政拨款结余：指事业单位使用以前年度积累的非财政拨款结余弥补本年度收支差额的资金。</w:t>
      </w:r>
    </w:p>
    <w:p>
      <w:pPr>
        <w:spacing w:line="360" w:lineRule="auto"/>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六、年初结转和结余：指以前年度尚未完成、结转到本年按有关规定继续使用的资金</w:t>
      </w:r>
      <w:r>
        <w:rPr>
          <w:rFonts w:eastAsia="仿宋_GB2312"/>
          <w:sz w:val="32"/>
          <w:szCs w:val="32"/>
        </w:rPr>
        <w:t>，或项目已完成等产生的结余资金</w:t>
      </w:r>
      <w:r>
        <w:rPr>
          <w:rFonts w:hint="eastAsia" w:ascii="仿宋" w:hAnsi="仿宋" w:eastAsia="仿宋" w:cs="仿宋"/>
          <w:color w:val="000000"/>
          <w:sz w:val="32"/>
          <w:szCs w:val="32"/>
        </w:rPr>
        <w:t>。 </w:t>
      </w:r>
    </w:p>
    <w:p>
      <w:pPr>
        <w:spacing w:line="360" w:lineRule="auto"/>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七、结余分配：</w:t>
      </w:r>
      <w:r>
        <w:rPr>
          <w:rFonts w:eastAsia="仿宋_GB2312"/>
          <w:sz w:val="32"/>
          <w:szCs w:val="32"/>
        </w:rPr>
        <w:t>指事业单位按会计制度规定缴纳的所得税、提取的专用结余以及转入非财政拨款结余的资金等。</w:t>
      </w:r>
      <w:r>
        <w:rPr>
          <w:rFonts w:hint="eastAsia" w:ascii="仿宋" w:hAnsi="仿宋" w:eastAsia="仿宋" w:cs="仿宋"/>
          <w:color w:val="000000"/>
          <w:sz w:val="32"/>
          <w:szCs w:val="32"/>
        </w:rPr>
        <w:t> </w:t>
      </w:r>
    </w:p>
    <w:p>
      <w:pPr>
        <w:spacing w:line="360" w:lineRule="auto"/>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八、年末结转和结余：</w:t>
      </w:r>
      <w:r>
        <w:rPr>
          <w:rFonts w:eastAsia="仿宋_GB2312"/>
          <w:sz w:val="32"/>
          <w:szCs w:val="32"/>
        </w:rPr>
        <w:t>指单位按有关规定结转到下年或者以后年度继续使用的资金，或项目已完成等产生的结余资金。</w:t>
      </w:r>
      <w:r>
        <w:rPr>
          <w:rFonts w:hint="eastAsia" w:ascii="仿宋" w:hAnsi="仿宋" w:eastAsia="仿宋" w:cs="仿宋"/>
          <w:color w:val="000000"/>
          <w:sz w:val="32"/>
          <w:szCs w:val="32"/>
        </w:rPr>
        <w:t> </w:t>
      </w:r>
    </w:p>
    <w:p>
      <w:pPr>
        <w:spacing w:line="360" w:lineRule="auto"/>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九、基本支出：指为保障机构正常运转、完成日常工作任务而发生的人员支出和公用支出。 </w:t>
      </w:r>
    </w:p>
    <w:p>
      <w:pPr>
        <w:spacing w:line="360" w:lineRule="auto"/>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十、项目支出：指在基本支出之外为完成特定行政任务和事业发展目标所发生的支出。 </w:t>
      </w:r>
    </w:p>
    <w:p>
      <w:pPr>
        <w:spacing w:line="360" w:lineRule="auto"/>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十一、经营支出：指事业单位在专业业务活动及其辅助活动之外开展非独立核算经营活动发生的支出。</w:t>
      </w:r>
    </w:p>
    <w:p>
      <w:pPr>
        <w:spacing w:line="360" w:lineRule="auto"/>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十二、“三公”经费：纳入</w:t>
      </w:r>
      <w:r>
        <w:rPr>
          <w:rFonts w:ascii="仿宋" w:hAnsi="仿宋" w:eastAsia="仿宋" w:cs="仿宋"/>
          <w:color w:val="000000"/>
          <w:sz w:val="32"/>
        </w:rPr>
        <w:t>南宁市财政预决算管理的“三公”经费，是指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spacing w:line="360" w:lineRule="auto"/>
        <w:ind w:firstLine="640"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bidi w:val="0"/>
        <w:snapToGrid/>
        <w:spacing w:line="360" w:lineRule="auto"/>
        <w:jc w:val="left"/>
        <w:textAlignment w:val="auto"/>
        <w:rPr>
          <w:rFonts w:ascii="仿宋" w:hAnsi="仿宋" w:eastAsia="仿宋" w:cs="仿宋"/>
          <w:color w:val="000000" w:themeColor="text1"/>
          <w:sz w:val="32"/>
          <w:szCs w:val="32"/>
          <w:highlight w:val="none"/>
          <w14:textFill>
            <w14:solidFill>
              <w14:schemeClr w14:val="tx1"/>
            </w14:solidFill>
          </w14:textFill>
        </w:rPr>
      </w:pPr>
    </w:p>
    <w:sectPr>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
    <w:altName w:val="汉仪仿宋KW"/>
    <w:panose1 w:val="02010609060101010101"/>
    <w:charset w:val="86"/>
    <w:family w:val="auto"/>
    <w:pitch w:val="default"/>
    <w:sig w:usb0="00000000" w:usb1="00000000" w:usb2="00000016" w:usb3="00000000" w:csb0="00040001" w:csb1="00000000"/>
  </w:font>
  <w:font w:name="仿宋_GB2312">
    <w:altName w:val="汉仪仿宋KW"/>
    <w:panose1 w:val="02010609030101010101"/>
    <w:charset w:val="86"/>
    <w:family w:val="auto"/>
    <w:pitch w:val="default"/>
    <w:sig w:usb0="00000000" w:usb1="00000000" w:usb2="00000000" w:usb3="00000000" w:csb0="00040000" w:csb1="00000000"/>
  </w:font>
  <w:font w:name="汉仪仿宋KW">
    <w:panose1 w:val="00020600040101010101"/>
    <w:charset w:val="86"/>
    <w:family w:val="auto"/>
    <w:pitch w:val="default"/>
    <w:sig w:usb0="A00002BF" w:usb1="18EF7CFA" w:usb2="00000016"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266390"/>
    <w:multiLevelType w:val="singleLevel"/>
    <w:tmpl w:val="FC26639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1" w:edit="comments" w:salt="rWhIabtZiBNZFsnstolzWQ==" w:hash="5V3yDWw4KmT64M+1CbWxNsEgkPRpLXMkeCnMUC8eBj/iAjDzhf8y1kGzD547FUNFPZ+NdjAy7BdSrWp7Ye4OUw==" w:cryptSpinCount="100000" w:cryptAlgorithmType="typeAny" w:cryptAlgorithmClass="hash" w:cryptProviderType="rsaAES" w:cryptAlgorithmSid="14"/>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iOTZkYjkwN2Q1MTBhY2U1NDI3ZmEwNzcyMDM4OGMifQ=="/>
  </w:docVars>
  <w:rsids>
    <w:rsidRoot w:val="00000000"/>
    <w:rsid w:val="56BB02F5"/>
    <w:rsid w:val="7BAF8778"/>
    <w:rsid w:val="7BF798DA"/>
    <w:rsid w:val="B33F5177"/>
    <w:rsid w:val="BBF7FB36"/>
    <w:rsid w:val="BDCFFD7B"/>
    <w:rsid w:val="CEA7EEB9"/>
    <w:rsid w:val="DFBF4C08"/>
    <w:rsid w:val="EF9DF134"/>
    <w:rsid w:val="FD7E83B5"/>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customStyle="1" w:styleId="10">
    <w:name w:val="页眉 Char"/>
    <w:basedOn w:val="8"/>
    <w:qFormat/>
    <w:uiPriority w:val="0"/>
    <w:rPr>
      <w:rFonts w:asciiTheme="minorHAnsi" w:hAnsiTheme="minorHAnsi" w:eastAsiaTheme="minorEastAsia" w:cstheme="minorBidi"/>
      <w:kern w:val="2"/>
      <w:sz w:val="18"/>
      <w:szCs w:val="18"/>
    </w:rPr>
  </w:style>
  <w:style w:type="character" w:customStyle="1" w:styleId="11">
    <w:name w:val="页脚 Char"/>
    <w:basedOn w:val="8"/>
    <w:qFormat/>
    <w:uiPriority w:val="0"/>
    <w:rPr>
      <w:rFonts w:asciiTheme="minorHAnsi" w:hAnsiTheme="minorHAnsi" w:eastAsiaTheme="minorEastAsia" w:cstheme="minorBidi"/>
      <w:kern w:val="2"/>
      <w:sz w:val="18"/>
      <w:szCs w:val="18"/>
    </w:rPr>
  </w:style>
  <w:style w:type="paragraph" w:styleId="12">
    <w:name w:val="List Paragraph"/>
    <w:basedOn w:val="1"/>
    <w:qFormat/>
    <w:uiPriority w:val="99"/>
    <w:pPr>
      <w:ind w:firstLine="420" w:firstLineChars="200"/>
    </w:p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10" Target="numbering.xml" Type="http://schemas.openxmlformats.org/officeDocument/2006/relationships/numbering"/><Relationship Id="rId11" Target="../customXml/item1.xml" Type="http://schemas.openxmlformats.org/officeDocument/2006/relationships/customXml"/><Relationship Id="rId12" Target="../customXml/item2.xml" Type="http://schemas.openxmlformats.org/officeDocument/2006/relationships/customXml"/><Relationship Id="rId13" Target="../customXml/item3.xml" Type="http://schemas.openxmlformats.org/officeDocument/2006/relationships/customXml"/><Relationship Id="rId14" Target="../customXml/item4.xml" Type="http://schemas.openxmlformats.org/officeDocument/2006/relationships/customXml"/><Relationship Id="rId15" Target="fontTable.xml" Type="http://schemas.openxmlformats.org/officeDocument/2006/relationships/fontTable"/><Relationship Id="rId2" Target="settings.xml" Type="http://schemas.openxmlformats.org/officeDocument/2006/relationships/settings"/><Relationship Id="rId3" Target="theme/theme1.xml" Type="http://schemas.openxmlformats.org/officeDocument/2006/relationships/theme"/><Relationship Id="rId4" Target="charts/chart1.xml" Type="http://schemas.openxmlformats.org/officeDocument/2006/relationships/chart"/><Relationship Id="rId5" Target="charts/chart2.xml" Type="http://schemas.openxmlformats.org/officeDocument/2006/relationships/chart"/><Relationship Id="rId6" Target="charts/chart3.xml" Type="http://schemas.openxmlformats.org/officeDocument/2006/relationships/chart"/><Relationship Id="rId7" Target="charts/chart4.xml" Type="http://schemas.openxmlformats.org/officeDocument/2006/relationships/chart"/><Relationship Id="rId8" Target="charts/chart5.xml" Type="http://schemas.openxmlformats.org/officeDocument/2006/relationships/chart"/><Relationship Id="rId9" Target="charts/chart6.xml" Type="http://schemas.openxmlformats.org/officeDocument/2006/relationships/chart"/></Relationships>
</file>

<file path=word/charts/_rels/chart1.xml.rels><?xml version="1.0" encoding="UTF-8" standalone="yes"?><Relationships xmlns="http://schemas.openxmlformats.org/package/2006/relationships"><Relationship Id="rId1" Target="../embeddings/Workbook1.xlsx" Type="http://schemas.openxmlformats.org/officeDocument/2006/relationships/package"/></Relationships>
</file>

<file path=word/charts/_rels/chart2.xml.rels><?xml version="1.0" encoding="UTF-8" standalone="yes"?><Relationships xmlns="http://schemas.openxmlformats.org/package/2006/relationships"><Relationship Id="rId1" Target="../embeddings/Workbook2.xlsx" Type="http://schemas.openxmlformats.org/officeDocument/2006/relationships/package"/></Relationships>
</file>

<file path=word/charts/_rels/chart3.xml.rels><?xml version="1.0" encoding="UTF-8" standalone="yes"?><Relationships xmlns="http://schemas.openxmlformats.org/package/2006/relationships"><Relationship Id="rId1" Target="../embeddings/Workbook3.xlsx" Type="http://schemas.openxmlformats.org/officeDocument/2006/relationships/package"/></Relationships>
</file>

<file path=word/charts/_rels/chart4.xml.rels><?xml version="1.0" encoding="UTF-8" standalone="yes"?><Relationships xmlns="http://schemas.openxmlformats.org/package/2006/relationships"><Relationship Id="rId1" Target="../embeddings/Workbook4.xlsx" Type="http://schemas.openxmlformats.org/officeDocument/2006/relationships/package"/></Relationships>
</file>

<file path=word/charts/_rels/chart5.xml.rels><?xml version="1.0" encoding="UTF-8" standalone="yes"?><Relationships xmlns="http://schemas.openxmlformats.org/package/2006/relationships"><Relationship Id="rId1" Target="../embeddings/Workbook5.xlsx" Type="http://schemas.openxmlformats.org/officeDocument/2006/relationships/package"/></Relationships>
</file>

<file path=word/charts/_rels/chart6.xml.rels><?xml version="1.0" encoding="UTF-8" standalone="yes"?><Relationships xmlns="http://schemas.openxmlformats.org/package/2006/relationships"><Relationship Id="rId1" Target="../embeddings/Workbook6.xlsx" Type="http://schemas.openxmlformats.org/officeDocument/2006/relationships/package"/></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2023决算收入图表</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countries</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Sheet1!$A$2:$A$5</c:f>
              <c:strCache>
                <c:ptCount val="4"/>
                <c:pt idx="0">
                  <c:v>一般公共预算财政拨款收入</c:v>
                </c:pt>
                <c:pt idx="1">
                  <c:v>事业收入</c:v>
                </c:pt>
                <c:pt idx="2">
                  <c:v>其他收入</c:v>
                </c:pt>
                <c:pt idx="3">
                  <c:v>上年结转和结余</c:v>
                </c:pt>
              </c:strCache>
            </c:strRef>
          </c:cat>
          <c:val>
            <c:numRef>
              <c:f>Sheet1!$B$2:$B$5</c:f>
              <c:numCache>
                <c:formatCode>General</c:formatCode>
                <c:ptCount val="4"/>
                <c:pt idx="0">
                  <c:v>15426.35</c:v>
                </c:pt>
                <c:pt idx="1">
                  <c:v>2058.15</c:v>
                </c:pt>
                <c:pt idx="2">
                  <c:v>403.35</c:v>
                </c:pt>
                <c:pt idx="3">
                  <c:v>2.11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2023年支出情况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c:v>
                </c:pt>
              </c:strCache>
            </c:strRef>
          </c:tx>
          <c:spPr>
            <a:solidFill>
              <a:schemeClr val="accent1"/>
            </a:solidFill>
            <a:ln>
              <a:noFill/>
            </a:ln>
            <a:effectLst/>
          </c:spPr>
          <c:invertIfNegative val="0"/>
          <c:dLbls>
            <c:delete val="1"/>
          </c:dLbls>
          <c:cat>
            <c:strRef>
              <c:f>Sheet1!$A$2:$A$5</c:f>
              <c:strCache>
                <c:ptCount val="4"/>
                <c:pt idx="0">
                  <c:v>教育支出</c:v>
                </c:pt>
                <c:pt idx="1">
                  <c:v>社会保障和就业支出</c:v>
                </c:pt>
                <c:pt idx="2">
                  <c:v>卫生健康支出</c:v>
                </c:pt>
                <c:pt idx="3">
                  <c:v>住房保障支出</c:v>
                </c:pt>
              </c:strCache>
            </c:strRef>
          </c:cat>
          <c:val>
            <c:numRef>
              <c:f>Sheet1!$B$2:$B$5</c:f>
              <c:numCache>
                <c:formatCode>General</c:formatCode>
                <c:ptCount val="4"/>
                <c:pt idx="0">
                  <c:v>14231.61</c:v>
                </c:pt>
                <c:pt idx="1">
                  <c:v>1821.35</c:v>
                </c:pt>
                <c:pt idx="2">
                  <c:v>993.59</c:v>
                </c:pt>
                <c:pt idx="3">
                  <c:v>794.56</c:v>
                </c:pt>
              </c:numCache>
            </c:numRef>
          </c:val>
        </c:ser>
        <c:ser>
          <c:idx val="1"/>
          <c:order val="1"/>
          <c:tx>
            <c:strRef>
              <c:f>Sheet1!$C$1</c:f>
              <c:strCache>
                <c:ptCount val="1"/>
                <c:pt idx="0">
                  <c:v>2022</c:v>
                </c:pt>
              </c:strCache>
            </c:strRef>
          </c:tx>
          <c:spPr>
            <a:solidFill>
              <a:schemeClr val="accent2"/>
            </a:solidFill>
            <a:ln>
              <a:noFill/>
            </a:ln>
            <a:effectLst/>
          </c:spPr>
          <c:invertIfNegative val="0"/>
          <c:dLbls>
            <c:delete val="1"/>
          </c:dLbls>
          <c:cat>
            <c:strRef>
              <c:f>Sheet1!$A$2:$A$5</c:f>
              <c:strCache>
                <c:ptCount val="4"/>
                <c:pt idx="0">
                  <c:v>教育支出</c:v>
                </c:pt>
                <c:pt idx="1">
                  <c:v>社会保障和就业支出</c:v>
                </c:pt>
                <c:pt idx="2">
                  <c:v>卫生健康支出</c:v>
                </c:pt>
                <c:pt idx="3">
                  <c:v>住房保障支出</c:v>
                </c:pt>
              </c:strCache>
            </c:strRef>
          </c:cat>
          <c:val>
            <c:numRef>
              <c:f>Sheet1!$C$2:$C$5</c:f>
              <c:numCache>
                <c:formatCode>General</c:formatCode>
                <c:ptCount val="4"/>
                <c:pt idx="0">
                  <c:v>14354.58</c:v>
                </c:pt>
                <c:pt idx="1">
                  <c:v>1706.9</c:v>
                </c:pt>
                <c:pt idx="2">
                  <c:v>1066.14</c:v>
                </c:pt>
                <c:pt idx="3">
                  <c:v>752.05</c:v>
                </c:pt>
              </c:numCache>
            </c:numRef>
          </c:val>
        </c:ser>
        <c:dLbls>
          <c:showLegendKey val="0"/>
          <c:showVal val="0"/>
          <c:showCatName val="0"/>
          <c:showSerName val="0"/>
          <c:showPercent val="0"/>
          <c:showBubbleSize val="0"/>
        </c:dLbls>
        <c:gapWidth val="219"/>
        <c:overlap val="-27"/>
        <c:axId val="-172443552"/>
        <c:axId val="-172442464"/>
      </c:barChart>
      <c:catAx>
        <c:axId val="-1724435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2464"/>
        <c:crosses val="autoZero"/>
        <c:auto val="1"/>
        <c:lblAlgn val="ctr"/>
        <c:lblOffset val="100"/>
        <c:noMultiLvlLbl val="0"/>
      </c:catAx>
      <c:valAx>
        <c:axId val="-17244246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35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lang="zh-CN"/>
              <a:t>教育支出</a:t>
            </a:r>
            <a:endParaRPr lang="en-US" sz="1100"/>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科目名称</c:v>
                </c:pt>
              </c:strCache>
            </c:strRef>
          </c:tx>
          <c:spPr>
            <a:solidFill>
              <a:schemeClr val="accent1"/>
            </a:solidFill>
            <a:ln>
              <a:noFill/>
            </a:ln>
            <a:effectLst/>
          </c:spPr>
          <c:invertIfNegative val="0"/>
          <c:dLbls>
            <c:delete val="1"/>
          </c:dLbls>
          <c:cat>
            <c:strRef>
              <c:f>Sheet1!$A$2:$A$3</c:f>
              <c:strCache>
                <c:ptCount val="2"/>
                <c:pt idx="0">
                  <c:v>初中教育</c:v>
                </c:pt>
                <c:pt idx="1">
                  <c:v>高中教育</c:v>
                </c:pt>
              </c:strCache>
            </c:strRef>
          </c:cat>
          <c:val>
            <c:numRef>
              <c:f>Sheet1!$B$2:$B$3</c:f>
              <c:numCache>
                <c:formatCode>General</c:formatCode>
                <c:ptCount val="2"/>
                <c:pt idx="0">
                  <c:v>240.47</c:v>
                </c:pt>
                <c:pt idx="1">
                  <c:v>11576.38</c:v>
                </c:pt>
              </c:numCache>
            </c:numRef>
          </c:val>
        </c:ser>
        <c:dLbls>
          <c:showLegendKey val="0"/>
          <c:showVal val="0"/>
          <c:showCatName val="0"/>
          <c:showSerName val="0"/>
          <c:showPercent val="0"/>
          <c:showBubbleSize val="0"/>
        </c:dLbls>
        <c:gapWidth val="219"/>
        <c:overlap val="-27"/>
        <c:axId val="-172443008"/>
        <c:axId val="-172445728"/>
      </c:barChart>
      <c:catAx>
        <c:axId val="-1724430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27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5728"/>
        <c:crosses val="autoZero"/>
        <c:auto val="1"/>
        <c:lblAlgn val="ctr"/>
        <c:lblOffset val="100"/>
        <c:noMultiLvlLbl val="0"/>
      </c:catAx>
      <c:valAx>
        <c:axId val="-17244572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3008"/>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i="0"/>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lang="zh-CN"/>
              <a:t>社会保障和就业支出</a:t>
            </a:r>
            <a:endParaRPr lang="en-US" sz="1100"/>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科目名称</c:v>
                </c:pt>
              </c:strCache>
            </c:strRef>
          </c:tx>
          <c:spPr>
            <a:solidFill>
              <a:schemeClr val="accent1"/>
            </a:solidFill>
            <a:ln>
              <a:noFill/>
            </a:ln>
            <a:effectLst/>
          </c:spPr>
          <c:invertIfNegative val="0"/>
          <c:dLbls>
            <c:delete val="1"/>
          </c:dLbls>
          <c:cat>
            <c:strRef>
              <c:f>Sheet1!$A$2:$A$5</c:f>
              <c:strCache>
                <c:ptCount val="4"/>
                <c:pt idx="0">
                  <c:v>事业单位离退休</c:v>
                </c:pt>
                <c:pt idx="1">
                  <c:v>机关事业单位基本养老保险缴费支出</c:v>
                </c:pt>
                <c:pt idx="2">
                  <c:v>机关事业单位职业年金缴费支出</c:v>
                </c:pt>
                <c:pt idx="3">
                  <c:v>死亡抚恤</c:v>
                </c:pt>
              </c:strCache>
            </c:strRef>
          </c:cat>
          <c:val>
            <c:numRef>
              <c:f>Sheet1!$B$2:$B$5</c:f>
              <c:numCache>
                <c:formatCode>General</c:formatCode>
                <c:ptCount val="4"/>
                <c:pt idx="0">
                  <c:v>265.69</c:v>
                </c:pt>
                <c:pt idx="1">
                  <c:v>982.22</c:v>
                </c:pt>
                <c:pt idx="2">
                  <c:v>526.61</c:v>
                </c:pt>
                <c:pt idx="3">
                  <c:v>46.83</c:v>
                </c:pt>
              </c:numCache>
            </c:numRef>
          </c:val>
        </c:ser>
        <c:dLbls>
          <c:showLegendKey val="0"/>
          <c:showVal val="0"/>
          <c:showCatName val="0"/>
          <c:showSerName val="0"/>
          <c:showPercent val="0"/>
          <c:showBubbleSize val="0"/>
        </c:dLbls>
        <c:gapWidth val="219"/>
        <c:overlap val="-27"/>
        <c:axId val="-172443008"/>
        <c:axId val="-172445728"/>
      </c:barChart>
      <c:catAx>
        <c:axId val="-1724430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27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5728"/>
        <c:crosses val="autoZero"/>
        <c:auto val="1"/>
        <c:lblAlgn val="ctr"/>
        <c:lblOffset val="100"/>
        <c:noMultiLvlLbl val="0"/>
      </c:catAx>
      <c:valAx>
        <c:axId val="-17244572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3008"/>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i="0"/>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lang="zh-CN"/>
              <a:t>卫生健康支出</a:t>
            </a:r>
            <a:endParaRPr lang="en-US" sz="1100"/>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科目名称</c:v>
                </c:pt>
              </c:strCache>
            </c:strRef>
          </c:tx>
          <c:spPr>
            <a:solidFill>
              <a:schemeClr val="accent1"/>
            </a:solidFill>
            <a:ln>
              <a:noFill/>
            </a:ln>
            <a:effectLst/>
          </c:spPr>
          <c:invertIfNegative val="0"/>
          <c:dLbls>
            <c:delete val="1"/>
          </c:dLbls>
          <c:cat>
            <c:strRef>
              <c:f>Sheet1!$A$2:$A$4</c:f>
              <c:strCache>
                <c:ptCount val="3"/>
                <c:pt idx="0">
                  <c:v>事业单位医疗</c:v>
                </c:pt>
                <c:pt idx="1">
                  <c:v>公务员医疗补助</c:v>
                </c:pt>
                <c:pt idx="2">
                  <c:v>其他行政事业单位医疗支出</c:v>
                </c:pt>
              </c:strCache>
            </c:strRef>
          </c:cat>
          <c:val>
            <c:numRef>
              <c:f>Sheet1!$B$2:$B$4</c:f>
              <c:numCache>
                <c:formatCode>General</c:formatCode>
                <c:ptCount val="3"/>
                <c:pt idx="0">
                  <c:v>407.33</c:v>
                </c:pt>
                <c:pt idx="1">
                  <c:v>579.07</c:v>
                </c:pt>
                <c:pt idx="2">
                  <c:v>7.18</c:v>
                </c:pt>
              </c:numCache>
            </c:numRef>
          </c:val>
        </c:ser>
        <c:dLbls>
          <c:showLegendKey val="0"/>
          <c:showVal val="0"/>
          <c:showCatName val="0"/>
          <c:showSerName val="0"/>
          <c:showPercent val="0"/>
          <c:showBubbleSize val="0"/>
        </c:dLbls>
        <c:gapWidth val="219"/>
        <c:overlap val="-27"/>
        <c:axId val="-172443008"/>
        <c:axId val="-172445728"/>
      </c:barChart>
      <c:catAx>
        <c:axId val="-1724430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27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5728"/>
        <c:crosses val="autoZero"/>
        <c:auto val="1"/>
        <c:lblAlgn val="ctr"/>
        <c:lblOffset val="100"/>
        <c:noMultiLvlLbl val="0"/>
      </c:catAx>
      <c:valAx>
        <c:axId val="-17244572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3008"/>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i="0"/>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rtlCol="0" anchor="t" anchorCtr="1"/>
          <a:lstStyle/>
          <a:p>
            <a:pPr algn="l">
              <a:defRPr lang="zh-CN" sz="1800" b="1" i="0" u="none" strike="noStrike" kern="1200" baseline="0">
                <a:solidFill>
                  <a:schemeClr val="tx1"/>
                </a:solidFill>
                <a:latin typeface="+mn-lt"/>
                <a:ea typeface="+mn-ea"/>
                <a:cs typeface="+mn-cs"/>
              </a:defRPr>
            </a:pPr>
            <a:r>
              <a:rPr lang="zh-CN"/>
              <a:t>住房保障支出</a:t>
            </a:r>
            <a:endParaRPr lang="en-US" sz="1100"/>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科目名称</c:v>
                </c:pt>
              </c:strCache>
            </c:strRef>
          </c:tx>
          <c:spPr>
            <a:solidFill>
              <a:schemeClr val="accent1"/>
            </a:solidFill>
            <a:ln>
              <a:noFill/>
            </a:ln>
            <a:effectLst/>
          </c:spPr>
          <c:invertIfNegative val="0"/>
          <c:dLbls>
            <c:delete val="1"/>
          </c:dLbls>
          <c:cat>
            <c:strRef>
              <c:f>Sheet1!$A$2</c:f>
              <c:strCache>
                <c:ptCount val="1"/>
                <c:pt idx="0">
                  <c:v>住房公积金</c:v>
                </c:pt>
              </c:strCache>
            </c:strRef>
          </c:cat>
          <c:val>
            <c:numRef>
              <c:f>Sheet1!$B$2</c:f>
              <c:numCache>
                <c:formatCode>General</c:formatCode>
                <c:ptCount val="1"/>
                <c:pt idx="0">
                  <c:v>794.56</c:v>
                </c:pt>
              </c:numCache>
            </c:numRef>
          </c:val>
        </c:ser>
        <c:dLbls>
          <c:showLegendKey val="0"/>
          <c:showVal val="0"/>
          <c:showCatName val="0"/>
          <c:showSerName val="0"/>
          <c:showPercent val="0"/>
          <c:showBubbleSize val="0"/>
        </c:dLbls>
        <c:gapWidth val="219"/>
        <c:overlap val="-27"/>
        <c:axId val="-172443008"/>
        <c:axId val="-172445728"/>
      </c:barChart>
      <c:catAx>
        <c:axId val="-1724430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27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5728"/>
        <c:crosses val="autoZero"/>
        <c:auto val="1"/>
        <c:lblAlgn val="ctr"/>
        <c:lblOffset val="100"/>
        <c:noMultiLvlLbl val="0"/>
      </c:catAx>
      <c:valAx>
        <c:axId val="-17244572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2443008"/>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i="0"/>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_rels/item2.xml.rels><?xml version="1.0" encoding="UTF-8" standalone="yes"?><Relationships xmlns="http://schemas.openxmlformats.org/package/2006/relationships"><Relationship Id="rId1" Target="itemProps2.xml" Type="http://schemas.openxmlformats.org/officeDocument/2006/relationships/customXmlProps"/></Relationships>
</file>

<file path=customXml/_rels/item3.xml.rels><?xml version="1.0" encoding="UTF-8" standalone="yes"?><Relationships xmlns="http://schemas.openxmlformats.org/package/2006/relationships"><Relationship Id="rId1" Target="itemProps3.xml" Type="http://schemas.openxmlformats.org/officeDocument/2006/relationships/customXmlProps"/></Relationships>
</file>

<file path=customXml/_rels/item4.xml.rels><?xml version="1.0" encoding="UTF-8" standalone="yes"?><Relationships xmlns="http://schemas.openxmlformats.org/package/2006/relationships"><Relationship Id="rId1" Target="itemProps4.xml" Type="http://schemas.openxmlformats.org/officeDocument/2006/relationships/customXmlProps"/></Relationships>
</file>

<file path=customXml/item1.xml><?xml version="1.0" encoding="utf-8"?>
<cp:coreProperties xmlns:cp="http://schemas.openxmlformats.org/package/2006/metadata/core-properties" xmlns:dc="http://purl.org/dc/elements/1.1/" xmlns:dcterms="http://purl.org/dc/terms/" xmlns:xsi="http://www.w3.org/2001/XMLSchema-instance">
  <dcterms:created xsi:type="dcterms:W3CDTF">2023-08-17T02:06:00Z</dcterms:created>
  <dc:creator>C D D</dc:creator>
  <cp:lastModifiedBy>C D D</cp:lastModifiedBy>
  <dcterms:modified xsi:type="dcterms:W3CDTF">2024-09-14T08:24:55Z</dcterms:modified>
  <cp:revision>64</cp:revision>
</cp:coreProperties>
</file>

<file path=customXml/item2.xml><?xml version="1.0" encoding="utf-8"?>
<Properties xmlns="http://schemas.openxmlformats.org/officeDocument/2006/extended-properties" xmlns:vt="http://schemas.openxmlformats.org/officeDocument/2006/docPropsVTypes">
  <Template>Normal.dotm</Template>
  <Pages>26</Pages>
  <Words>5407</Words>
  <Characters>11391</Characters>
  <Lines>97</Lines>
  <Paragraphs>27</Paragraphs>
  <TotalTime>3</TotalTime>
  <ScaleCrop>false</ScaleCrop>
  <LinksUpToDate>false</LinksUpToDate>
  <CharactersWithSpaces>11452</CharactersWithSpaces>
  <Application>WPS Office_12.1.0.16120_F1E327BC-269C-435d-A152-05C5408002CA</Application>
  <DocSecurity>0</DocSecurity>
</Properties>
</file>

<file path=customXml/item3.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57D094FB07FD46A88D174A9003702513_13</vt:lpwstr>
  </property>
</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3ed55-e798-4c6f-9c0f-16e9d05e23fa}">
  <ds:schemaRefs/>
</ds:datastoreItem>
</file>

<file path=customXml/itemProps2.xml><?xml version="1.0" encoding="utf-8"?>
<ds:datastoreItem xmlns:ds="http://schemas.openxmlformats.org/officeDocument/2006/customXml" ds:itemID="{30c7c8f8-301c-4fd8-af05-16b08d3d04d3}">
  <ds:schemaRefs/>
</ds:datastoreItem>
</file>

<file path=customXml/itemProps3.xml><?xml version="1.0" encoding="utf-8"?>
<ds:datastoreItem xmlns:ds="http://schemas.openxmlformats.org/officeDocument/2006/customXml" ds:itemID="{c2221dfe-a44a-41e9-90f6-623bd4c4b1ee}">
  <ds:schemaRefs/>
</ds:datastoreItem>
</file>

<file path=customXml/itemProps4.xml><?xml version="1.0" encoding="utf-8"?>
<ds:datastoreItem xmlns:ds="http://schemas.openxmlformats.org/officeDocument/2006/customXml" ds:itemID="{6263B4B7-9F30-488E-B020-71051BEB3AFA}">
  <ds:schemaRefs/>
</ds:datastoreItem>
</file>

<file path=docProps/app.xml><?xml version="1.0" encoding="utf-8"?>
<Properties xmlns="http://schemas.openxmlformats.org/officeDocument/2006/extended-properties" xmlns:vt="http://schemas.openxmlformats.org/officeDocument/2006/docPropsVTypes">
  <Pages>26</Pages>
  <Words>5407</Words>
  <Characters>11391</Characters>
  <Lines>97</Lines>
  <Paragraphs>27</Paragraphs>
  <TotalTime>3</TotalTime>
  <ScaleCrop>false</ScaleCrop>
  <LinksUpToDate>false</LinksUpToDate>
  <CharactersWithSpaces>11452</CharactersWithSpaces>
  <Application>WPS Office WWO_base_provider_20240802040131-7fcd809b77</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2023-08-17T18:06:00Z</dcterms:created>
  <dc:creator>C D D</dc:creator>
  <cp:lastModifiedBy>C D D</cp:lastModifiedBy>
  <dcterms:modified xsi:type="dcterms:W3CDTF">2024-09-26T19:14:18Z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